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2983"/>
      </w:tblGrid>
      <w:tr w:rsidR="00D61B21" w14:paraId="40BB36FC" w14:textId="77777777" w:rsidTr="0062419C">
        <w:trPr>
          <w:trHeight w:val="1527"/>
        </w:trPr>
        <w:tc>
          <w:tcPr>
            <w:tcW w:w="12983" w:type="dxa"/>
          </w:tcPr>
          <w:p w14:paraId="363F0AF0" w14:textId="4F10F2C7" w:rsidR="00E305BE" w:rsidRDefault="00623564" w:rsidP="00F118AD">
            <w:pPr>
              <w:pStyle w:val="TableParagraph"/>
              <w:rPr>
                <w:b/>
                <w:sz w:val="36"/>
              </w:rPr>
            </w:pPr>
            <w:r>
              <w:rPr>
                <w:b/>
                <w:sz w:val="36"/>
              </w:rPr>
              <w:t>B</w:t>
            </w:r>
            <w:r w:rsidR="007025D2">
              <w:rPr>
                <w:b/>
                <w:sz w:val="36"/>
              </w:rPr>
              <w:t>W Businessworld</w:t>
            </w:r>
          </w:p>
          <w:p w14:paraId="2B935E0C" w14:textId="06BB689D" w:rsidR="00D61B21" w:rsidRDefault="0022093D" w:rsidP="009652C3">
            <w:pPr>
              <w:pStyle w:val="TableParagraph"/>
              <w:rPr>
                <w:b/>
                <w:sz w:val="36"/>
              </w:rPr>
            </w:pPr>
            <w:r>
              <w:rPr>
                <w:b/>
                <w:sz w:val="36"/>
              </w:rPr>
              <w:t>Summit</w:t>
            </w:r>
            <w:r w:rsidR="005C6B32">
              <w:rPr>
                <w:b/>
                <w:sz w:val="36"/>
              </w:rPr>
              <w:t xml:space="preserve"> on Web 3.0</w:t>
            </w:r>
          </w:p>
          <w:p w14:paraId="4CC90A1C" w14:textId="3503BBD0" w:rsidR="003638D1" w:rsidRDefault="00B21178" w:rsidP="009652C3">
            <w:pPr>
              <w:pStyle w:val="TableParagraph"/>
              <w:rPr>
                <w:b/>
                <w:sz w:val="36"/>
              </w:rPr>
            </w:pPr>
            <w:r>
              <w:rPr>
                <w:b/>
                <w:sz w:val="36"/>
              </w:rPr>
              <w:t xml:space="preserve">Theme: </w:t>
            </w:r>
            <w:r w:rsidR="00403E34">
              <w:rPr>
                <w:b/>
                <w:sz w:val="36"/>
              </w:rPr>
              <w:t xml:space="preserve">When transformative technologies meet </w:t>
            </w:r>
            <w:r w:rsidR="000468DC">
              <w:rPr>
                <w:b/>
                <w:sz w:val="36"/>
              </w:rPr>
              <w:t>commerce</w:t>
            </w:r>
            <w:r w:rsidR="00403E34">
              <w:rPr>
                <w:b/>
                <w:sz w:val="36"/>
              </w:rPr>
              <w:t xml:space="preserve"> &amp; currency</w:t>
            </w:r>
          </w:p>
          <w:p w14:paraId="14441C9A" w14:textId="77777777" w:rsidR="007025D2" w:rsidRDefault="00FC0760" w:rsidP="00FC0760">
            <w:pPr>
              <w:pStyle w:val="TableParagraph"/>
              <w:rPr>
                <w:bCs/>
                <w:i/>
                <w:iCs/>
                <w:sz w:val="32"/>
                <w:szCs w:val="20"/>
                <w:u w:val="single"/>
              </w:rPr>
            </w:pPr>
            <w:r>
              <w:rPr>
                <w:bCs/>
                <w:i/>
                <w:iCs/>
                <w:sz w:val="32"/>
                <w:szCs w:val="20"/>
                <w:u w:val="single"/>
              </w:rPr>
              <w:t>Day I</w:t>
            </w:r>
          </w:p>
          <w:p w14:paraId="4F8BC96D" w14:textId="609D7952" w:rsidR="00FC0760" w:rsidRDefault="00FC0760" w:rsidP="00FC0760">
            <w:pPr>
              <w:pStyle w:val="TableParagraph"/>
              <w:rPr>
                <w:b/>
                <w:sz w:val="24"/>
              </w:rPr>
            </w:pPr>
          </w:p>
        </w:tc>
      </w:tr>
      <w:tr w:rsidR="00C84847" w14:paraId="57C0268A" w14:textId="77777777" w:rsidTr="008E4391">
        <w:trPr>
          <w:trHeight w:val="1219"/>
        </w:trPr>
        <w:tc>
          <w:tcPr>
            <w:tcW w:w="12983" w:type="dxa"/>
          </w:tcPr>
          <w:p w14:paraId="4C626C1B" w14:textId="404304A0" w:rsidR="00C84847" w:rsidRDefault="00AA0D6C" w:rsidP="009652C3">
            <w:pPr>
              <w:pStyle w:val="TableParagraph"/>
              <w:rPr>
                <w:bCs/>
                <w:sz w:val="20"/>
                <w:szCs w:val="20"/>
              </w:rPr>
            </w:pPr>
            <w:r>
              <w:rPr>
                <w:bCs/>
                <w:sz w:val="20"/>
                <w:szCs w:val="20"/>
              </w:rPr>
              <w:t>100</w:t>
            </w:r>
            <w:r w:rsidR="00C84847">
              <w:rPr>
                <w:bCs/>
                <w:sz w:val="20"/>
                <w:szCs w:val="20"/>
              </w:rPr>
              <w:t>0 hrs – 1</w:t>
            </w:r>
            <w:r>
              <w:rPr>
                <w:bCs/>
                <w:sz w:val="20"/>
                <w:szCs w:val="20"/>
              </w:rPr>
              <w:t>1</w:t>
            </w:r>
            <w:r w:rsidR="00C84847">
              <w:rPr>
                <w:bCs/>
                <w:sz w:val="20"/>
                <w:szCs w:val="20"/>
              </w:rPr>
              <w:t>00 hrs</w:t>
            </w:r>
          </w:p>
          <w:p w14:paraId="27472621" w14:textId="77777777" w:rsidR="00C84847" w:rsidRDefault="00C84847" w:rsidP="009652C3">
            <w:pPr>
              <w:pStyle w:val="TableParagraph"/>
              <w:rPr>
                <w:bCs/>
                <w:sz w:val="20"/>
                <w:szCs w:val="20"/>
              </w:rPr>
            </w:pPr>
          </w:p>
          <w:p w14:paraId="7E8537F1" w14:textId="4278F645" w:rsidR="00C84847" w:rsidRPr="00C84847" w:rsidRDefault="00CD561B" w:rsidP="009652C3">
            <w:pPr>
              <w:pStyle w:val="TableParagraph"/>
              <w:rPr>
                <w:rFonts w:ascii="Palatino Linotype" w:hAnsi="Palatino Linotype"/>
                <w:bCs/>
                <w:i/>
                <w:iCs/>
                <w:sz w:val="24"/>
                <w:szCs w:val="24"/>
              </w:rPr>
            </w:pPr>
            <w:r>
              <w:rPr>
                <w:rFonts w:ascii="Palatino Linotype" w:hAnsi="Palatino Linotype"/>
                <w:bCs/>
                <w:i/>
                <w:iCs/>
                <w:sz w:val="24"/>
                <w:szCs w:val="24"/>
              </w:rPr>
              <w:t>Inaugural Session</w:t>
            </w:r>
          </w:p>
        </w:tc>
      </w:tr>
      <w:tr w:rsidR="008E4391" w14:paraId="5E7AB793" w14:textId="77777777" w:rsidTr="008E4391">
        <w:trPr>
          <w:trHeight w:val="1219"/>
        </w:trPr>
        <w:tc>
          <w:tcPr>
            <w:tcW w:w="12983" w:type="dxa"/>
          </w:tcPr>
          <w:p w14:paraId="3B9B695A" w14:textId="378DA9FD" w:rsidR="008E4391" w:rsidRDefault="008E4391" w:rsidP="009652C3">
            <w:pPr>
              <w:pStyle w:val="TableParagraph"/>
              <w:rPr>
                <w:bCs/>
                <w:sz w:val="20"/>
                <w:szCs w:val="20"/>
              </w:rPr>
            </w:pPr>
            <w:r>
              <w:rPr>
                <w:bCs/>
                <w:sz w:val="20"/>
                <w:szCs w:val="20"/>
              </w:rPr>
              <w:t>1</w:t>
            </w:r>
            <w:r w:rsidR="00AA0D6C">
              <w:rPr>
                <w:bCs/>
                <w:sz w:val="20"/>
                <w:szCs w:val="20"/>
              </w:rPr>
              <w:t>1</w:t>
            </w:r>
            <w:r>
              <w:rPr>
                <w:bCs/>
                <w:sz w:val="20"/>
                <w:szCs w:val="20"/>
              </w:rPr>
              <w:t>00 hrs – 1</w:t>
            </w:r>
            <w:r w:rsidR="00221141">
              <w:rPr>
                <w:bCs/>
                <w:sz w:val="20"/>
                <w:szCs w:val="20"/>
              </w:rPr>
              <w:t>15</w:t>
            </w:r>
            <w:r>
              <w:rPr>
                <w:bCs/>
                <w:sz w:val="20"/>
                <w:szCs w:val="20"/>
              </w:rPr>
              <w:t>0 hrs</w:t>
            </w:r>
            <w:r w:rsidR="007A0A90">
              <w:rPr>
                <w:bCs/>
                <w:sz w:val="20"/>
                <w:szCs w:val="20"/>
              </w:rPr>
              <w:t>: Panel Discussion</w:t>
            </w:r>
          </w:p>
          <w:p w14:paraId="3A4967BD" w14:textId="77777777" w:rsidR="008E4391" w:rsidRDefault="008E4391" w:rsidP="009652C3">
            <w:pPr>
              <w:pStyle w:val="TableParagraph"/>
              <w:rPr>
                <w:bCs/>
                <w:sz w:val="20"/>
                <w:szCs w:val="20"/>
              </w:rPr>
            </w:pPr>
          </w:p>
          <w:p w14:paraId="58425232" w14:textId="08EB1653" w:rsidR="008E672E" w:rsidRPr="00883488" w:rsidRDefault="00A07091" w:rsidP="008E672E">
            <w:pPr>
              <w:pStyle w:val="TableParagraph"/>
              <w:rPr>
                <w:rFonts w:ascii="Palatino Linotype" w:hAnsi="Palatino Linotype"/>
                <w:bCs/>
                <w:i/>
                <w:iCs/>
                <w:sz w:val="24"/>
                <w:szCs w:val="24"/>
              </w:rPr>
            </w:pPr>
            <w:r>
              <w:rPr>
                <w:rFonts w:ascii="Palatino Linotype" w:hAnsi="Palatino Linotype"/>
                <w:bCs/>
                <w:i/>
                <w:iCs/>
                <w:sz w:val="24"/>
                <w:szCs w:val="24"/>
              </w:rPr>
              <w:t>I</w:t>
            </w:r>
            <w:r w:rsidR="008E672E">
              <w:rPr>
                <w:rFonts w:ascii="Palatino Linotype" w:hAnsi="Palatino Linotype"/>
                <w:bCs/>
                <w:i/>
                <w:iCs/>
                <w:sz w:val="24"/>
                <w:szCs w:val="24"/>
              </w:rPr>
              <w:t>mmersive tech</w:t>
            </w:r>
            <w:r w:rsidR="00255D81">
              <w:rPr>
                <w:rFonts w:ascii="Palatino Linotype" w:hAnsi="Palatino Linotype"/>
                <w:bCs/>
                <w:i/>
                <w:iCs/>
                <w:sz w:val="24"/>
                <w:szCs w:val="24"/>
              </w:rPr>
              <w:t>nologies</w:t>
            </w:r>
            <w:r w:rsidR="008E672E">
              <w:rPr>
                <w:rFonts w:ascii="Palatino Linotype" w:hAnsi="Palatino Linotype"/>
                <w:bCs/>
                <w:i/>
                <w:iCs/>
                <w:sz w:val="24"/>
                <w:szCs w:val="24"/>
              </w:rPr>
              <w:t xml:space="preserve"> </w:t>
            </w:r>
            <w:r>
              <w:rPr>
                <w:rFonts w:ascii="Palatino Linotype" w:hAnsi="Palatino Linotype"/>
                <w:bCs/>
                <w:i/>
                <w:iCs/>
                <w:sz w:val="24"/>
                <w:szCs w:val="24"/>
              </w:rPr>
              <w:t>– T</w:t>
            </w:r>
            <w:r w:rsidR="008E672E">
              <w:rPr>
                <w:rFonts w:ascii="Palatino Linotype" w:hAnsi="Palatino Linotype"/>
                <w:bCs/>
                <w:i/>
                <w:iCs/>
                <w:sz w:val="24"/>
                <w:szCs w:val="24"/>
              </w:rPr>
              <w:t>he go-to-destination for growth &amp; engagement of consumer-facing brands</w:t>
            </w:r>
          </w:p>
          <w:p w14:paraId="03581D79" w14:textId="77777777" w:rsidR="008E672E" w:rsidRDefault="008E672E" w:rsidP="008E672E">
            <w:pPr>
              <w:pStyle w:val="TableParagraph"/>
              <w:rPr>
                <w:bCs/>
                <w:sz w:val="20"/>
                <w:szCs w:val="20"/>
              </w:rPr>
            </w:pPr>
          </w:p>
          <w:p w14:paraId="666F69E5" w14:textId="544E9896" w:rsidR="008E672E" w:rsidRDefault="008E672E" w:rsidP="008E672E">
            <w:pPr>
              <w:pStyle w:val="TableParagraph"/>
              <w:jc w:val="both"/>
              <w:rPr>
                <w:bCs/>
                <w:sz w:val="20"/>
                <w:szCs w:val="20"/>
              </w:rPr>
            </w:pPr>
            <w:r>
              <w:rPr>
                <w:bCs/>
                <w:sz w:val="20"/>
                <w:szCs w:val="20"/>
              </w:rPr>
              <w:t>Whether it is 3D simulations of vehicles, demonstrations in augmented reality, virtual test drives or AR-fueled ‘Try-Before-You-Buy’ showrooms or wearable NFT products, there exists great promise not only for immersive technologies to graduate existing consumers online but also the creation of entirely new consumer markets. With the creation of an economy based upon blockchain technology integrated into the metaverse’s ecommerce platforms, and the intrinsic uniqueness of NFT products, there arises the possibility of one-of-a-kind, made-to-order, industries arising in apparel, handicrafts, accessories, home furnishings &amp; interiors, graphics &amp; design, amongst others. This session looks into the immersive technology crystal ball, and how companies’ thrust on adding a Metaverse twist to their existing retail &amp; industrial operations will draw in the next generation of consumers. It also examines how the ability of humans to live, exist, work &amp; interact as digital avatars would impact the customer experience by deepening the relationship between clients &amp; companies from the comfort of their respective homes</w:t>
            </w:r>
          </w:p>
          <w:p w14:paraId="36B525DF" w14:textId="08A66921" w:rsidR="008E4391" w:rsidRPr="00052364" w:rsidRDefault="008E4391" w:rsidP="00995928">
            <w:pPr>
              <w:pStyle w:val="TableParagraph"/>
              <w:jc w:val="both"/>
              <w:rPr>
                <w:rFonts w:ascii="Palatino Linotype" w:hAnsi="Palatino Linotype"/>
                <w:bCs/>
                <w:i/>
                <w:iCs/>
                <w:sz w:val="20"/>
                <w:szCs w:val="20"/>
              </w:rPr>
            </w:pPr>
          </w:p>
        </w:tc>
      </w:tr>
      <w:tr w:rsidR="009652C3" w14:paraId="0896BA6A" w14:textId="77777777" w:rsidTr="008E4391">
        <w:trPr>
          <w:trHeight w:val="1219"/>
        </w:trPr>
        <w:tc>
          <w:tcPr>
            <w:tcW w:w="12983" w:type="dxa"/>
          </w:tcPr>
          <w:p w14:paraId="5E8BACBF" w14:textId="77AE1815" w:rsidR="009652C3" w:rsidRDefault="009652C3" w:rsidP="009652C3">
            <w:pPr>
              <w:pStyle w:val="TableParagraph"/>
              <w:rPr>
                <w:bCs/>
                <w:sz w:val="20"/>
                <w:szCs w:val="20"/>
              </w:rPr>
            </w:pPr>
            <w:r>
              <w:rPr>
                <w:bCs/>
                <w:sz w:val="20"/>
                <w:szCs w:val="20"/>
              </w:rPr>
              <w:t>1</w:t>
            </w:r>
            <w:r w:rsidR="00221141">
              <w:rPr>
                <w:bCs/>
                <w:sz w:val="20"/>
                <w:szCs w:val="20"/>
              </w:rPr>
              <w:t>15</w:t>
            </w:r>
            <w:r>
              <w:rPr>
                <w:bCs/>
                <w:sz w:val="20"/>
                <w:szCs w:val="20"/>
              </w:rPr>
              <w:t>0 hrs – 1</w:t>
            </w:r>
            <w:r w:rsidR="00221141">
              <w:rPr>
                <w:bCs/>
                <w:sz w:val="20"/>
                <w:szCs w:val="20"/>
              </w:rPr>
              <w:t>24</w:t>
            </w:r>
            <w:r>
              <w:rPr>
                <w:bCs/>
                <w:sz w:val="20"/>
                <w:szCs w:val="20"/>
              </w:rPr>
              <w:t>0 hrs</w:t>
            </w:r>
            <w:r w:rsidR="007A0A90">
              <w:rPr>
                <w:bCs/>
                <w:sz w:val="20"/>
                <w:szCs w:val="20"/>
              </w:rPr>
              <w:t>: Panel Discussion</w:t>
            </w:r>
          </w:p>
          <w:p w14:paraId="517464B4" w14:textId="77777777" w:rsidR="009652C3" w:rsidRDefault="009652C3" w:rsidP="009652C3">
            <w:pPr>
              <w:pStyle w:val="TableParagraph"/>
              <w:rPr>
                <w:bCs/>
                <w:sz w:val="20"/>
                <w:szCs w:val="20"/>
              </w:rPr>
            </w:pPr>
          </w:p>
          <w:p w14:paraId="61C75C3B" w14:textId="2F04420D" w:rsidR="00FC0760" w:rsidRDefault="00E36E83" w:rsidP="00FC0760">
            <w:pPr>
              <w:pStyle w:val="TableParagraph"/>
              <w:rPr>
                <w:rFonts w:ascii="Palatino Linotype" w:hAnsi="Palatino Linotype"/>
                <w:bCs/>
                <w:i/>
                <w:iCs/>
                <w:sz w:val="24"/>
                <w:szCs w:val="24"/>
              </w:rPr>
            </w:pPr>
            <w:r>
              <w:rPr>
                <w:rFonts w:ascii="Palatino Linotype" w:hAnsi="Palatino Linotype"/>
                <w:bCs/>
                <w:i/>
                <w:iCs/>
                <w:sz w:val="24"/>
                <w:szCs w:val="24"/>
              </w:rPr>
              <w:t>C</w:t>
            </w:r>
            <w:r w:rsidR="00FC0760">
              <w:rPr>
                <w:rFonts w:ascii="Palatino Linotype" w:hAnsi="Palatino Linotype"/>
                <w:bCs/>
                <w:i/>
                <w:iCs/>
                <w:sz w:val="24"/>
                <w:szCs w:val="24"/>
              </w:rPr>
              <w:t>rypto</w:t>
            </w:r>
            <w:r>
              <w:rPr>
                <w:rFonts w:ascii="Palatino Linotype" w:hAnsi="Palatino Linotype"/>
                <w:bCs/>
                <w:i/>
                <w:iCs/>
                <w:sz w:val="24"/>
                <w:szCs w:val="24"/>
              </w:rPr>
              <w:t>currencies – Where is it headed next?</w:t>
            </w:r>
          </w:p>
          <w:p w14:paraId="60B8EFCC" w14:textId="77777777" w:rsidR="00FC0760" w:rsidRDefault="00FC0760" w:rsidP="00FC0760">
            <w:pPr>
              <w:jc w:val="both"/>
              <w:rPr>
                <w:rFonts w:ascii="Calibri" w:eastAsia="Calibri" w:hAnsi="Calibri"/>
                <w:color w:val="222222"/>
                <w:shd w:val="clear" w:color="auto" w:fill="FFFFFF"/>
              </w:rPr>
            </w:pPr>
          </w:p>
          <w:p w14:paraId="31D43C67" w14:textId="0CA8A6AE" w:rsidR="00FC0760" w:rsidRDefault="008D7CEC" w:rsidP="00FC0760">
            <w:pPr>
              <w:jc w:val="both"/>
              <w:rPr>
                <w:rFonts w:eastAsia="Calibri"/>
                <w:color w:val="222222"/>
                <w:sz w:val="20"/>
                <w:szCs w:val="20"/>
                <w:shd w:val="clear" w:color="auto" w:fill="FFFFFF"/>
              </w:rPr>
            </w:pPr>
            <w:r>
              <w:rPr>
                <w:rFonts w:eastAsia="Calibri"/>
                <w:color w:val="222222"/>
                <w:sz w:val="20"/>
                <w:szCs w:val="20"/>
                <w:shd w:val="clear" w:color="auto" w:fill="FFFFFF"/>
              </w:rPr>
              <w:t xml:space="preserve">While the last 12 months have been challenging to say the least, Prognosis 2023-24 </w:t>
            </w:r>
            <w:r w:rsidR="00296EED">
              <w:rPr>
                <w:rFonts w:eastAsia="Calibri"/>
                <w:color w:val="222222"/>
                <w:sz w:val="20"/>
                <w:szCs w:val="20"/>
                <w:shd w:val="clear" w:color="auto" w:fill="FFFFFF"/>
              </w:rPr>
              <w:t>lays</w:t>
            </w:r>
            <w:r>
              <w:rPr>
                <w:rFonts w:eastAsia="Calibri"/>
                <w:color w:val="222222"/>
                <w:sz w:val="20"/>
                <w:szCs w:val="20"/>
                <w:shd w:val="clear" w:color="auto" w:fill="FFFFFF"/>
              </w:rPr>
              <w:t xml:space="preserve"> emphasize</w:t>
            </w:r>
            <w:r w:rsidR="00296EED">
              <w:rPr>
                <w:rFonts w:eastAsia="Calibri"/>
                <w:color w:val="222222"/>
                <w:sz w:val="20"/>
                <w:szCs w:val="20"/>
                <w:shd w:val="clear" w:color="auto" w:fill="FFFFFF"/>
              </w:rPr>
              <w:t xml:space="preserve"> on</w:t>
            </w:r>
            <w:r>
              <w:rPr>
                <w:rFonts w:eastAsia="Calibri"/>
                <w:color w:val="222222"/>
                <w:sz w:val="20"/>
                <w:szCs w:val="20"/>
                <w:shd w:val="clear" w:color="auto" w:fill="FFFFFF"/>
              </w:rPr>
              <w:t xml:space="preserve"> mass adoption with leading, global, consumer-facing brands investing favourably in NFTs in 2023. This session debates what the crypto economy will have to do to regroup over the coming 12 months</w:t>
            </w:r>
            <w:r w:rsidR="00296EED">
              <w:rPr>
                <w:rFonts w:eastAsia="Calibri"/>
                <w:color w:val="222222"/>
                <w:sz w:val="20"/>
                <w:szCs w:val="20"/>
                <w:shd w:val="clear" w:color="auto" w:fill="FFFFFF"/>
              </w:rPr>
              <w:t>, how it will have to do it,</w:t>
            </w:r>
            <w:r>
              <w:rPr>
                <w:rFonts w:eastAsia="Calibri"/>
                <w:color w:val="222222"/>
                <w:sz w:val="20"/>
                <w:szCs w:val="20"/>
                <w:shd w:val="clear" w:color="auto" w:fill="FFFFFF"/>
              </w:rPr>
              <w:t xml:space="preserve"> with a look </w:t>
            </w:r>
            <w:r w:rsidR="00296EED">
              <w:rPr>
                <w:rFonts w:eastAsia="Calibri"/>
                <w:color w:val="222222"/>
                <w:sz w:val="20"/>
                <w:szCs w:val="20"/>
                <w:shd w:val="clear" w:color="auto" w:fill="FFFFFF"/>
              </w:rPr>
              <w:t>at</w:t>
            </w:r>
            <w:r>
              <w:rPr>
                <w:rFonts w:eastAsia="Calibri"/>
                <w:color w:val="222222"/>
                <w:sz w:val="20"/>
                <w:szCs w:val="20"/>
                <w:shd w:val="clear" w:color="auto" w:fill="FFFFFF"/>
              </w:rPr>
              <w:t xml:space="preserve"> accruing measurable gains in the years to come</w:t>
            </w:r>
          </w:p>
          <w:p w14:paraId="193104ED" w14:textId="1057F9FA" w:rsidR="00052364" w:rsidRPr="009652C3" w:rsidRDefault="00052364" w:rsidP="00FC0760">
            <w:pPr>
              <w:jc w:val="both"/>
              <w:rPr>
                <w:rFonts w:ascii="Palatino Linotype" w:hAnsi="Palatino Linotype"/>
                <w:bCs/>
                <w:i/>
                <w:iCs/>
                <w:sz w:val="24"/>
                <w:szCs w:val="24"/>
              </w:rPr>
            </w:pPr>
          </w:p>
        </w:tc>
      </w:tr>
      <w:tr w:rsidR="00221141" w14:paraId="1C9F277B" w14:textId="77777777" w:rsidTr="008E4391">
        <w:trPr>
          <w:trHeight w:val="1219"/>
        </w:trPr>
        <w:tc>
          <w:tcPr>
            <w:tcW w:w="12983" w:type="dxa"/>
          </w:tcPr>
          <w:p w14:paraId="53B95CDA" w14:textId="793FADF0" w:rsidR="00221141" w:rsidRDefault="00221141" w:rsidP="00221141">
            <w:pPr>
              <w:pStyle w:val="TableParagraph"/>
              <w:rPr>
                <w:sz w:val="20"/>
                <w:szCs w:val="20"/>
              </w:rPr>
            </w:pPr>
            <w:r>
              <w:rPr>
                <w:sz w:val="20"/>
                <w:szCs w:val="20"/>
              </w:rPr>
              <w:t>1240 – 1330 hrs: Panel Discussion</w:t>
            </w:r>
          </w:p>
          <w:p w14:paraId="092BECFE" w14:textId="77777777" w:rsidR="00221141" w:rsidRDefault="00221141" w:rsidP="00221141">
            <w:pPr>
              <w:pStyle w:val="TableParagraph"/>
              <w:rPr>
                <w:sz w:val="20"/>
                <w:szCs w:val="20"/>
              </w:rPr>
            </w:pPr>
          </w:p>
          <w:p w14:paraId="752F7EEC" w14:textId="77777777" w:rsidR="00221141" w:rsidRDefault="00221141" w:rsidP="00221141">
            <w:pPr>
              <w:jc w:val="center"/>
              <w:rPr>
                <w:rFonts w:ascii="Palatino Linotype" w:hAnsi="Palatino Linotype"/>
                <w:bCs/>
                <w:i/>
                <w:iCs/>
                <w:sz w:val="24"/>
                <w:szCs w:val="24"/>
              </w:rPr>
            </w:pPr>
            <w:r>
              <w:rPr>
                <w:rFonts w:ascii="Palatino Linotype" w:hAnsi="Palatino Linotype"/>
                <w:bCs/>
                <w:i/>
                <w:iCs/>
                <w:sz w:val="24"/>
                <w:szCs w:val="24"/>
              </w:rPr>
              <w:t>Prioritising the unserved &amp; underserved – Role of Web 3.0 innovation in facilitating financial inclusivity</w:t>
            </w:r>
          </w:p>
          <w:p w14:paraId="3A251BD8" w14:textId="77777777" w:rsidR="00221141" w:rsidRDefault="00221141" w:rsidP="00221141">
            <w:pPr>
              <w:jc w:val="both"/>
            </w:pPr>
          </w:p>
          <w:p w14:paraId="3CAA0DE7" w14:textId="77777777" w:rsidR="00221141" w:rsidRDefault="00221141" w:rsidP="00221141">
            <w:pPr>
              <w:jc w:val="both"/>
              <w:rPr>
                <w:sz w:val="20"/>
                <w:szCs w:val="20"/>
              </w:rPr>
            </w:pPr>
            <w:r w:rsidRPr="0011356A">
              <w:rPr>
                <w:sz w:val="20"/>
                <w:szCs w:val="20"/>
              </w:rPr>
              <w:t>Arguably no industry stands to gain from integrating blockchain technology into routine business operations more than banking. Whether it is reducing processing time for transactions from days to minutes or minimising settl</w:t>
            </w:r>
            <w:r>
              <w:rPr>
                <w:sz w:val="20"/>
                <w:szCs w:val="20"/>
              </w:rPr>
              <w:t>ement</w:t>
            </w:r>
            <w:r w:rsidRPr="0011356A">
              <w:rPr>
                <w:sz w:val="20"/>
                <w:szCs w:val="20"/>
              </w:rPr>
              <w:t xml:space="preserve"> &amp; clear</w:t>
            </w:r>
            <w:r>
              <w:rPr>
                <w:sz w:val="20"/>
                <w:szCs w:val="20"/>
              </w:rPr>
              <w:t>ance</w:t>
            </w:r>
            <w:r w:rsidRPr="0011356A">
              <w:rPr>
                <w:sz w:val="20"/>
                <w:szCs w:val="20"/>
              </w:rPr>
              <w:t xml:space="preserve"> time</w:t>
            </w:r>
            <w:r>
              <w:rPr>
                <w:sz w:val="20"/>
                <w:szCs w:val="20"/>
              </w:rPr>
              <w:t>lines</w:t>
            </w:r>
            <w:r w:rsidRPr="0011356A">
              <w:rPr>
                <w:sz w:val="20"/>
                <w:szCs w:val="20"/>
              </w:rPr>
              <w:t xml:space="preserve"> in the stock trading business or having a crypto wallet in countries with unstable currencies or financial infrastructures or war-ravaged economies, adoption of blockchain technology affords a level of speed, safety, security, &amp; privacy that is available as long as you have an Internet connection &amp; mobile phone. Join us as we reimagine banking, and take you on a journey where</w:t>
            </w:r>
            <w:r>
              <w:rPr>
                <w:sz w:val="20"/>
                <w:szCs w:val="20"/>
              </w:rPr>
              <w:t xml:space="preserve"> we discuss the role of Web 3.0 as an enabler in tackling the administrative burden to achieve financial inclusivity, making it easier for the unbanked &amp; underbanked. In a nutshell, making you</w:t>
            </w:r>
            <w:r w:rsidRPr="0011356A">
              <w:rPr>
                <w:sz w:val="20"/>
                <w:szCs w:val="20"/>
              </w:rPr>
              <w:t xml:space="preserve"> </w:t>
            </w:r>
            <w:r>
              <w:rPr>
                <w:sz w:val="20"/>
                <w:szCs w:val="20"/>
              </w:rPr>
              <w:t xml:space="preserve">the </w:t>
            </w:r>
            <w:r w:rsidRPr="0011356A">
              <w:rPr>
                <w:sz w:val="20"/>
                <w:szCs w:val="20"/>
              </w:rPr>
              <w:t>arbiter of your own financial destiny</w:t>
            </w:r>
          </w:p>
          <w:p w14:paraId="4C9C20B2" w14:textId="77777777" w:rsidR="00221141" w:rsidRDefault="00221141" w:rsidP="00221141">
            <w:pPr>
              <w:pStyle w:val="TableParagraph"/>
              <w:jc w:val="left"/>
              <w:rPr>
                <w:bCs/>
                <w:sz w:val="20"/>
                <w:szCs w:val="20"/>
              </w:rPr>
            </w:pPr>
          </w:p>
        </w:tc>
      </w:tr>
      <w:tr w:rsidR="009652C3" w14:paraId="48F005C2" w14:textId="77777777" w:rsidTr="00CE46F1">
        <w:trPr>
          <w:trHeight w:val="877"/>
        </w:trPr>
        <w:tc>
          <w:tcPr>
            <w:tcW w:w="12983" w:type="dxa"/>
          </w:tcPr>
          <w:p w14:paraId="5ADA0572" w14:textId="75718EF8" w:rsidR="009652C3" w:rsidRDefault="009652C3" w:rsidP="009652C3">
            <w:pPr>
              <w:pStyle w:val="TableParagraph"/>
              <w:rPr>
                <w:bCs/>
                <w:sz w:val="20"/>
                <w:szCs w:val="20"/>
              </w:rPr>
            </w:pPr>
            <w:r>
              <w:rPr>
                <w:bCs/>
                <w:sz w:val="20"/>
                <w:szCs w:val="20"/>
              </w:rPr>
              <w:lastRenderedPageBreak/>
              <w:t>1</w:t>
            </w:r>
            <w:r w:rsidR="00AA0D6C">
              <w:rPr>
                <w:bCs/>
                <w:sz w:val="20"/>
                <w:szCs w:val="20"/>
              </w:rPr>
              <w:t>3</w:t>
            </w:r>
            <w:r w:rsidR="00221141">
              <w:rPr>
                <w:bCs/>
                <w:sz w:val="20"/>
                <w:szCs w:val="20"/>
              </w:rPr>
              <w:t>3</w:t>
            </w:r>
            <w:r>
              <w:rPr>
                <w:bCs/>
                <w:sz w:val="20"/>
                <w:szCs w:val="20"/>
              </w:rPr>
              <w:t>0 hrs – 1</w:t>
            </w:r>
            <w:r w:rsidR="00AA0D6C">
              <w:rPr>
                <w:bCs/>
                <w:sz w:val="20"/>
                <w:szCs w:val="20"/>
              </w:rPr>
              <w:t>4</w:t>
            </w:r>
            <w:r w:rsidR="00221141">
              <w:rPr>
                <w:bCs/>
                <w:sz w:val="20"/>
                <w:szCs w:val="20"/>
              </w:rPr>
              <w:t>3</w:t>
            </w:r>
            <w:r>
              <w:rPr>
                <w:bCs/>
                <w:sz w:val="20"/>
                <w:szCs w:val="20"/>
              </w:rPr>
              <w:t>0 hrs</w:t>
            </w:r>
          </w:p>
          <w:p w14:paraId="704601A1" w14:textId="77777777" w:rsidR="009652C3" w:rsidRDefault="009652C3" w:rsidP="009652C3">
            <w:pPr>
              <w:pStyle w:val="TableParagraph"/>
              <w:rPr>
                <w:bCs/>
                <w:sz w:val="20"/>
                <w:szCs w:val="20"/>
              </w:rPr>
            </w:pPr>
          </w:p>
          <w:p w14:paraId="3F3E026E" w14:textId="30E7E81F" w:rsidR="009652C3" w:rsidRPr="009652C3" w:rsidRDefault="00AA0D6C" w:rsidP="009652C3">
            <w:pPr>
              <w:pStyle w:val="TableParagraph"/>
              <w:rPr>
                <w:rFonts w:ascii="Palatino Linotype" w:hAnsi="Palatino Linotype"/>
                <w:bCs/>
                <w:i/>
                <w:iCs/>
                <w:sz w:val="20"/>
                <w:szCs w:val="20"/>
              </w:rPr>
            </w:pPr>
            <w:r>
              <w:rPr>
                <w:rFonts w:ascii="Palatino Linotype" w:hAnsi="Palatino Linotype"/>
                <w:bCs/>
                <w:i/>
                <w:iCs/>
                <w:sz w:val="24"/>
                <w:szCs w:val="24"/>
              </w:rPr>
              <w:t>Networking Lunch</w:t>
            </w:r>
          </w:p>
        </w:tc>
      </w:tr>
      <w:tr w:rsidR="00640732" w14:paraId="7CCEDF30" w14:textId="77777777" w:rsidTr="0056209E">
        <w:trPr>
          <w:trHeight w:val="612"/>
        </w:trPr>
        <w:tc>
          <w:tcPr>
            <w:tcW w:w="12983" w:type="dxa"/>
            <w:vAlign w:val="center"/>
          </w:tcPr>
          <w:p w14:paraId="31D7BB2E" w14:textId="51220617" w:rsidR="00640732" w:rsidRPr="00753478" w:rsidRDefault="00640732" w:rsidP="00640732">
            <w:pPr>
              <w:pStyle w:val="TableParagraph"/>
              <w:rPr>
                <w:bCs/>
                <w:sz w:val="20"/>
                <w:szCs w:val="20"/>
              </w:rPr>
            </w:pPr>
            <w:r>
              <w:rPr>
                <w:bCs/>
                <w:sz w:val="20"/>
                <w:szCs w:val="20"/>
              </w:rPr>
              <w:t>1</w:t>
            </w:r>
            <w:r w:rsidR="00AA0D6C">
              <w:rPr>
                <w:bCs/>
                <w:sz w:val="20"/>
                <w:szCs w:val="20"/>
              </w:rPr>
              <w:t>4</w:t>
            </w:r>
            <w:r w:rsidR="00221141">
              <w:rPr>
                <w:bCs/>
                <w:sz w:val="20"/>
                <w:szCs w:val="20"/>
              </w:rPr>
              <w:t>3</w:t>
            </w:r>
            <w:r>
              <w:rPr>
                <w:bCs/>
                <w:sz w:val="20"/>
                <w:szCs w:val="20"/>
              </w:rPr>
              <w:t>0 hrs – 1</w:t>
            </w:r>
            <w:r w:rsidR="00AA0D6C">
              <w:rPr>
                <w:bCs/>
                <w:sz w:val="20"/>
                <w:szCs w:val="20"/>
              </w:rPr>
              <w:t>5</w:t>
            </w:r>
            <w:r w:rsidR="00221141">
              <w:rPr>
                <w:bCs/>
                <w:sz w:val="20"/>
                <w:szCs w:val="20"/>
              </w:rPr>
              <w:t>2</w:t>
            </w:r>
            <w:r>
              <w:rPr>
                <w:bCs/>
                <w:sz w:val="20"/>
                <w:szCs w:val="20"/>
              </w:rPr>
              <w:t>0 hrs</w:t>
            </w:r>
            <w:r w:rsidR="007A0A90">
              <w:rPr>
                <w:bCs/>
                <w:sz w:val="20"/>
                <w:szCs w:val="20"/>
              </w:rPr>
              <w:t>: Panel Discussion</w:t>
            </w:r>
          </w:p>
          <w:p w14:paraId="415C88AD" w14:textId="77777777" w:rsidR="00640732" w:rsidRDefault="00640732" w:rsidP="00640732">
            <w:pPr>
              <w:pStyle w:val="TableParagraph"/>
              <w:rPr>
                <w:b/>
                <w:i/>
                <w:iCs/>
              </w:rPr>
            </w:pPr>
          </w:p>
          <w:p w14:paraId="1A626000" w14:textId="2F3B0B5D" w:rsidR="00640732" w:rsidRDefault="00E36E83" w:rsidP="00640732">
            <w:pPr>
              <w:pStyle w:val="TableParagraph"/>
              <w:rPr>
                <w:rFonts w:ascii="Palatino Linotype" w:hAnsi="Palatino Linotype"/>
                <w:bCs/>
                <w:i/>
                <w:iCs/>
                <w:sz w:val="24"/>
                <w:szCs w:val="24"/>
              </w:rPr>
            </w:pPr>
            <w:r>
              <w:rPr>
                <w:rFonts w:ascii="Palatino Linotype" w:hAnsi="Palatino Linotype"/>
                <w:bCs/>
                <w:i/>
                <w:iCs/>
                <w:sz w:val="24"/>
                <w:szCs w:val="24"/>
              </w:rPr>
              <w:t>Funding the Web 3.0 juggernaut – The ‘Who’ &amp; the ‘Why’</w:t>
            </w:r>
          </w:p>
          <w:p w14:paraId="34A8951C" w14:textId="77777777" w:rsidR="0011356A" w:rsidRDefault="0011356A" w:rsidP="0011356A">
            <w:pPr>
              <w:jc w:val="both"/>
            </w:pPr>
          </w:p>
          <w:p w14:paraId="428C693B" w14:textId="6C4A4D3E" w:rsidR="002E47BD" w:rsidRDefault="00E36E83" w:rsidP="00AF7583">
            <w:pPr>
              <w:jc w:val="both"/>
              <w:rPr>
                <w:sz w:val="20"/>
                <w:szCs w:val="20"/>
              </w:rPr>
            </w:pPr>
            <w:r>
              <w:rPr>
                <w:sz w:val="20"/>
                <w:szCs w:val="20"/>
              </w:rPr>
              <w:t>We stand at the cusp of the defining “Our time will come” moment</w:t>
            </w:r>
            <w:r w:rsidR="007F3160">
              <w:rPr>
                <w:sz w:val="20"/>
                <w:szCs w:val="20"/>
              </w:rPr>
              <w:t xml:space="preserve"> as millions of developers &amp; the Indian demographic dividend aim to make their mark in a changing world. As globally-dominant Internet companies have become the torch bearers of economic supremacy over the past few decades, today, a 4</w:t>
            </w:r>
            <w:r w:rsidR="007F3160" w:rsidRPr="007F3160">
              <w:rPr>
                <w:sz w:val="20"/>
                <w:szCs w:val="20"/>
                <w:vertAlign w:val="superscript"/>
              </w:rPr>
              <w:t>th</w:t>
            </w:r>
            <w:r w:rsidR="007F3160">
              <w:rPr>
                <w:sz w:val="20"/>
                <w:szCs w:val="20"/>
              </w:rPr>
              <w:t xml:space="preserve"> IR is underway, led un</w:t>
            </w:r>
            <w:r w:rsidR="00AF3202">
              <w:rPr>
                <w:sz w:val="20"/>
                <w:szCs w:val="20"/>
              </w:rPr>
              <w:t>ceasingly</w:t>
            </w:r>
            <w:r w:rsidR="007F3160">
              <w:rPr>
                <w:sz w:val="20"/>
                <w:szCs w:val="20"/>
              </w:rPr>
              <w:t xml:space="preserve"> by the rise &amp; proliferation of the Web 3.0. </w:t>
            </w:r>
            <w:r w:rsidR="00627ADD">
              <w:rPr>
                <w:sz w:val="20"/>
                <w:szCs w:val="20"/>
              </w:rPr>
              <w:t>India, with the world’s 3</w:t>
            </w:r>
            <w:r w:rsidR="00627ADD" w:rsidRPr="00627ADD">
              <w:rPr>
                <w:sz w:val="20"/>
                <w:szCs w:val="20"/>
                <w:vertAlign w:val="superscript"/>
              </w:rPr>
              <w:t>rd</w:t>
            </w:r>
            <w:r w:rsidR="00627ADD">
              <w:rPr>
                <w:sz w:val="20"/>
                <w:szCs w:val="20"/>
              </w:rPr>
              <w:t xml:space="preserve"> largest software developer population, a wellspring of blockchain talent, a precocious, tech-friendly, demographic building NFT tools for artists, </w:t>
            </w:r>
            <w:r w:rsidR="00666BD0">
              <w:rPr>
                <w:sz w:val="20"/>
                <w:szCs w:val="20"/>
              </w:rPr>
              <w:t xml:space="preserve">&amp; </w:t>
            </w:r>
            <w:r w:rsidR="00627ADD">
              <w:rPr>
                <w:sz w:val="20"/>
                <w:szCs w:val="20"/>
              </w:rPr>
              <w:t xml:space="preserve">crypto companies attracting world class investors &amp; talent, is uniquely positioned to shape the future of Web 3.0, and </w:t>
            </w:r>
            <w:r w:rsidR="00666BD0">
              <w:rPr>
                <w:sz w:val="20"/>
                <w:szCs w:val="20"/>
              </w:rPr>
              <w:t xml:space="preserve">garner </w:t>
            </w:r>
            <w:r w:rsidR="00627ADD">
              <w:rPr>
                <w:sz w:val="20"/>
                <w:szCs w:val="20"/>
              </w:rPr>
              <w:t xml:space="preserve">the spoils that come with it. </w:t>
            </w:r>
            <w:r w:rsidR="007F3160">
              <w:rPr>
                <w:sz w:val="20"/>
                <w:szCs w:val="20"/>
              </w:rPr>
              <w:t>Join us as we discuss the importance of the PE/VC community in funding Web 3.0 innovation</w:t>
            </w:r>
            <w:r w:rsidR="00627ADD">
              <w:rPr>
                <w:sz w:val="20"/>
                <w:szCs w:val="20"/>
              </w:rPr>
              <w:t xml:space="preserve"> in a nation pregnant with </w:t>
            </w:r>
            <w:r w:rsidR="00C61AD5">
              <w:rPr>
                <w:sz w:val="20"/>
                <w:szCs w:val="20"/>
              </w:rPr>
              <w:t xml:space="preserve">positive socio-economic </w:t>
            </w:r>
            <w:r w:rsidR="00627ADD">
              <w:rPr>
                <w:sz w:val="20"/>
                <w:szCs w:val="20"/>
              </w:rPr>
              <w:t>possibilities</w:t>
            </w:r>
          </w:p>
          <w:p w14:paraId="5094F02D" w14:textId="533FD605" w:rsidR="001D6E72" w:rsidRPr="00AF7583" w:rsidRDefault="001D6E72" w:rsidP="00AF7583">
            <w:pPr>
              <w:jc w:val="both"/>
              <w:rPr>
                <w:sz w:val="20"/>
                <w:szCs w:val="20"/>
              </w:rPr>
            </w:pPr>
          </w:p>
        </w:tc>
      </w:tr>
      <w:tr w:rsidR="00AA0D6C" w14:paraId="4B303B52" w14:textId="77777777" w:rsidTr="0056209E">
        <w:trPr>
          <w:trHeight w:val="612"/>
        </w:trPr>
        <w:tc>
          <w:tcPr>
            <w:tcW w:w="12983" w:type="dxa"/>
            <w:vAlign w:val="center"/>
          </w:tcPr>
          <w:p w14:paraId="215731D4" w14:textId="0AD0EF77" w:rsidR="00AA0D6C" w:rsidRDefault="00AA0D6C" w:rsidP="00640732">
            <w:pPr>
              <w:pStyle w:val="TableParagraph"/>
              <w:rPr>
                <w:bCs/>
                <w:sz w:val="20"/>
                <w:szCs w:val="20"/>
              </w:rPr>
            </w:pPr>
            <w:r>
              <w:rPr>
                <w:bCs/>
                <w:sz w:val="20"/>
                <w:szCs w:val="20"/>
              </w:rPr>
              <w:t>15</w:t>
            </w:r>
            <w:r w:rsidR="00221141">
              <w:rPr>
                <w:bCs/>
                <w:sz w:val="20"/>
                <w:szCs w:val="20"/>
              </w:rPr>
              <w:t>2</w:t>
            </w:r>
            <w:r>
              <w:rPr>
                <w:bCs/>
                <w:sz w:val="20"/>
                <w:szCs w:val="20"/>
              </w:rPr>
              <w:t>0 hrs – 16</w:t>
            </w:r>
            <w:r w:rsidR="00221141">
              <w:rPr>
                <w:bCs/>
                <w:sz w:val="20"/>
                <w:szCs w:val="20"/>
              </w:rPr>
              <w:t>1</w:t>
            </w:r>
            <w:r>
              <w:rPr>
                <w:bCs/>
                <w:sz w:val="20"/>
                <w:szCs w:val="20"/>
              </w:rPr>
              <w:t>0 hrs</w:t>
            </w:r>
            <w:r w:rsidR="007A0A90">
              <w:rPr>
                <w:bCs/>
                <w:sz w:val="20"/>
                <w:szCs w:val="20"/>
              </w:rPr>
              <w:t>: Panel Discussion</w:t>
            </w:r>
          </w:p>
          <w:p w14:paraId="4140AADB" w14:textId="68E77AA8" w:rsidR="00AA0D6C" w:rsidRDefault="00AA0D6C" w:rsidP="00640732">
            <w:pPr>
              <w:pStyle w:val="TableParagraph"/>
              <w:rPr>
                <w:bCs/>
                <w:sz w:val="20"/>
                <w:szCs w:val="20"/>
              </w:rPr>
            </w:pPr>
          </w:p>
          <w:p w14:paraId="54DA8ACF" w14:textId="4EA978F4" w:rsidR="00CD561B" w:rsidRPr="00AA0D6C" w:rsidRDefault="00867DF2" w:rsidP="00640732">
            <w:pPr>
              <w:pStyle w:val="TableParagraph"/>
              <w:rPr>
                <w:rFonts w:ascii="Palatino Linotype" w:hAnsi="Palatino Linotype"/>
                <w:bCs/>
                <w:i/>
                <w:iCs/>
                <w:sz w:val="24"/>
                <w:szCs w:val="24"/>
              </w:rPr>
            </w:pPr>
            <w:r>
              <w:rPr>
                <w:rFonts w:ascii="Palatino Linotype" w:hAnsi="Palatino Linotype"/>
                <w:bCs/>
                <w:i/>
                <w:iCs/>
                <w:sz w:val="24"/>
                <w:szCs w:val="24"/>
              </w:rPr>
              <w:t xml:space="preserve">How </w:t>
            </w:r>
            <w:r w:rsidR="00FC0760">
              <w:rPr>
                <w:rFonts w:ascii="Palatino Linotype" w:hAnsi="Palatino Linotype"/>
                <w:bCs/>
                <w:i/>
                <w:iCs/>
                <w:sz w:val="24"/>
                <w:szCs w:val="24"/>
              </w:rPr>
              <w:t>decentralised</w:t>
            </w:r>
            <w:r>
              <w:rPr>
                <w:rFonts w:ascii="Palatino Linotype" w:hAnsi="Palatino Linotype"/>
                <w:bCs/>
                <w:i/>
                <w:iCs/>
                <w:sz w:val="24"/>
                <w:szCs w:val="24"/>
              </w:rPr>
              <w:t xml:space="preserve"> digital ledger technologies are reconceiving user experiences</w:t>
            </w:r>
          </w:p>
          <w:p w14:paraId="717010DE" w14:textId="77777777" w:rsidR="00AA0D6C" w:rsidRDefault="00AA0D6C" w:rsidP="00640732">
            <w:pPr>
              <w:pStyle w:val="TableParagraph"/>
              <w:rPr>
                <w:bCs/>
                <w:sz w:val="20"/>
                <w:szCs w:val="20"/>
              </w:rPr>
            </w:pPr>
          </w:p>
          <w:p w14:paraId="7D8CEAE5" w14:textId="20281E42" w:rsidR="00AA0D6C" w:rsidRDefault="0011356A" w:rsidP="0011356A">
            <w:pPr>
              <w:pStyle w:val="TableParagraph"/>
              <w:jc w:val="both"/>
              <w:rPr>
                <w:sz w:val="20"/>
                <w:szCs w:val="20"/>
              </w:rPr>
            </w:pPr>
            <w:r w:rsidRPr="0011356A">
              <w:rPr>
                <w:sz w:val="20"/>
                <w:szCs w:val="20"/>
              </w:rPr>
              <w:t>Notwithstanding the spate of cryptocurrency systems abounding on blockchain, there exists great versatility in the platform for storage</w:t>
            </w:r>
            <w:r w:rsidR="00C84D25">
              <w:rPr>
                <w:sz w:val="20"/>
                <w:szCs w:val="20"/>
              </w:rPr>
              <w:t xml:space="preserve"> &amp; traceability</w:t>
            </w:r>
            <w:r w:rsidRPr="0011356A">
              <w:rPr>
                <w:sz w:val="20"/>
                <w:szCs w:val="20"/>
              </w:rPr>
              <w:t xml:space="preserve"> of data of multiple kinds. Imagine a brand empowered with the ability to track its shipment’s journey route from the time of dispatch through each stop, and finally, into the hands of the consignee. Food contamination &amp; outbreaks can be traced due to complete </w:t>
            </w:r>
            <w:r w:rsidR="00512A1A">
              <w:rPr>
                <w:sz w:val="20"/>
                <w:szCs w:val="20"/>
              </w:rPr>
              <w:t>exposure</w:t>
            </w:r>
            <w:r w:rsidRPr="0011356A">
              <w:rPr>
                <w:sz w:val="20"/>
                <w:szCs w:val="20"/>
              </w:rPr>
              <w:t xml:space="preserve"> to the consignment’s trajectory. Similarly, shippers of express &amp; parcel delivery can programme route </w:t>
            </w:r>
            <w:r w:rsidR="00E14F42">
              <w:rPr>
                <w:sz w:val="20"/>
                <w:szCs w:val="20"/>
              </w:rPr>
              <w:t>o</w:t>
            </w:r>
            <w:r w:rsidR="00FC0760">
              <w:rPr>
                <w:sz w:val="20"/>
                <w:szCs w:val="20"/>
              </w:rPr>
              <w:t>ptimization</w:t>
            </w:r>
            <w:r w:rsidRPr="0011356A">
              <w:rPr>
                <w:sz w:val="20"/>
                <w:szCs w:val="20"/>
              </w:rPr>
              <w:t xml:space="preserve"> capabilities into their freight carriage experience, warehouse owners can better anticipate inventory &amp; space management, and 3PL providers can maximise fleet management solutions basis routing metrics derived from historical data. </w:t>
            </w:r>
            <w:r w:rsidR="00A6271D">
              <w:rPr>
                <w:sz w:val="20"/>
                <w:szCs w:val="20"/>
              </w:rPr>
              <w:t>As an immutable, safe, transparent, &amp; trac</w:t>
            </w:r>
            <w:r w:rsidR="00C84D25">
              <w:rPr>
                <w:sz w:val="20"/>
                <w:szCs w:val="20"/>
              </w:rPr>
              <w:t>k</w:t>
            </w:r>
            <w:r w:rsidR="00A6271D">
              <w:rPr>
                <w:sz w:val="20"/>
                <w:szCs w:val="20"/>
              </w:rPr>
              <w:t xml:space="preserve">able platform, blockchain </w:t>
            </w:r>
            <w:r w:rsidR="00B77F04">
              <w:rPr>
                <w:sz w:val="20"/>
                <w:szCs w:val="20"/>
              </w:rPr>
              <w:t>holds out promise to</w:t>
            </w:r>
            <w:r w:rsidR="00A6271D">
              <w:rPr>
                <w:sz w:val="20"/>
                <w:szCs w:val="20"/>
              </w:rPr>
              <w:t xml:space="preserve"> recast the last-mile experience across the enterprise landscape. </w:t>
            </w:r>
            <w:r w:rsidR="006D1BBC">
              <w:rPr>
                <w:sz w:val="20"/>
                <w:szCs w:val="20"/>
              </w:rPr>
              <w:t xml:space="preserve">This session looks at how creator economies, manufacturing supply chains, </w:t>
            </w:r>
            <w:r w:rsidR="00A6271D">
              <w:rPr>
                <w:sz w:val="20"/>
                <w:szCs w:val="20"/>
              </w:rPr>
              <w:t>intermediary</w:t>
            </w:r>
            <w:r w:rsidR="006D1BBC">
              <w:rPr>
                <w:sz w:val="20"/>
                <w:szCs w:val="20"/>
              </w:rPr>
              <w:t>-driven industries, and public &amp; private record-keeping</w:t>
            </w:r>
            <w:r w:rsidR="00A6271D">
              <w:rPr>
                <w:sz w:val="20"/>
                <w:szCs w:val="20"/>
              </w:rPr>
              <w:t xml:space="preserve"> are in for a sea change.</w:t>
            </w:r>
            <w:r w:rsidR="006D1BBC">
              <w:rPr>
                <w:sz w:val="20"/>
                <w:szCs w:val="20"/>
              </w:rPr>
              <w:t xml:space="preserve"> </w:t>
            </w:r>
            <w:r w:rsidRPr="0011356A">
              <w:rPr>
                <w:sz w:val="20"/>
                <w:szCs w:val="20"/>
              </w:rPr>
              <w:t>Join us as we examine the vast applicability of blockchain technology limited only by one’s own imagination</w:t>
            </w:r>
          </w:p>
          <w:p w14:paraId="3D0385C9" w14:textId="342E96FF" w:rsidR="00FC58EB" w:rsidRDefault="00FC58EB" w:rsidP="00995928">
            <w:pPr>
              <w:pStyle w:val="TableParagraph"/>
              <w:jc w:val="both"/>
              <w:rPr>
                <w:bCs/>
                <w:sz w:val="20"/>
                <w:szCs w:val="20"/>
              </w:rPr>
            </w:pPr>
          </w:p>
        </w:tc>
      </w:tr>
      <w:tr w:rsidR="00AA0D6C" w14:paraId="3851C590" w14:textId="77777777" w:rsidTr="0056209E">
        <w:trPr>
          <w:trHeight w:val="612"/>
        </w:trPr>
        <w:tc>
          <w:tcPr>
            <w:tcW w:w="12983" w:type="dxa"/>
            <w:vAlign w:val="center"/>
          </w:tcPr>
          <w:p w14:paraId="1162F4AD" w14:textId="0E696F5C" w:rsidR="00AA0D6C" w:rsidRDefault="00AA0D6C" w:rsidP="00640732">
            <w:pPr>
              <w:pStyle w:val="TableParagraph"/>
              <w:rPr>
                <w:bCs/>
                <w:sz w:val="20"/>
                <w:szCs w:val="20"/>
              </w:rPr>
            </w:pPr>
            <w:r>
              <w:rPr>
                <w:bCs/>
                <w:sz w:val="20"/>
                <w:szCs w:val="20"/>
              </w:rPr>
              <w:t>16</w:t>
            </w:r>
            <w:r w:rsidR="00221141">
              <w:rPr>
                <w:bCs/>
                <w:sz w:val="20"/>
                <w:szCs w:val="20"/>
              </w:rPr>
              <w:t>1</w:t>
            </w:r>
            <w:r>
              <w:rPr>
                <w:bCs/>
                <w:sz w:val="20"/>
                <w:szCs w:val="20"/>
              </w:rPr>
              <w:t>0 hrs – 1700 hrs</w:t>
            </w:r>
            <w:r w:rsidR="007A0A90">
              <w:rPr>
                <w:bCs/>
                <w:sz w:val="20"/>
                <w:szCs w:val="20"/>
              </w:rPr>
              <w:t>: Debate</w:t>
            </w:r>
          </w:p>
          <w:p w14:paraId="0303F7E6" w14:textId="4A49EDE6" w:rsidR="00AA0D6C" w:rsidRDefault="00AA0D6C" w:rsidP="00640732">
            <w:pPr>
              <w:pStyle w:val="TableParagraph"/>
              <w:rPr>
                <w:bCs/>
                <w:sz w:val="20"/>
                <w:szCs w:val="20"/>
              </w:rPr>
            </w:pPr>
          </w:p>
          <w:p w14:paraId="11386501" w14:textId="786CE069" w:rsidR="00AA0D6C" w:rsidRDefault="00264206" w:rsidP="00640732">
            <w:pPr>
              <w:pStyle w:val="TableParagraph"/>
              <w:rPr>
                <w:rFonts w:ascii="Palatino Linotype" w:hAnsi="Palatino Linotype"/>
                <w:bCs/>
                <w:i/>
                <w:iCs/>
                <w:sz w:val="24"/>
                <w:szCs w:val="24"/>
              </w:rPr>
            </w:pPr>
            <w:r>
              <w:rPr>
                <w:rFonts w:ascii="Palatino Linotype" w:hAnsi="Palatino Linotype"/>
                <w:bCs/>
                <w:i/>
                <w:iCs/>
                <w:sz w:val="24"/>
                <w:szCs w:val="24"/>
              </w:rPr>
              <w:t xml:space="preserve">NFTs – An invaluable addition to your </w:t>
            </w:r>
            <w:r w:rsidR="00C769FE">
              <w:rPr>
                <w:rFonts w:ascii="Palatino Linotype" w:hAnsi="Palatino Linotype"/>
                <w:bCs/>
                <w:i/>
                <w:iCs/>
                <w:sz w:val="24"/>
                <w:szCs w:val="24"/>
              </w:rPr>
              <w:t xml:space="preserve">investment </w:t>
            </w:r>
            <w:r>
              <w:rPr>
                <w:rFonts w:ascii="Palatino Linotype" w:hAnsi="Palatino Linotype"/>
                <w:bCs/>
                <w:i/>
                <w:iCs/>
                <w:sz w:val="24"/>
                <w:szCs w:val="24"/>
              </w:rPr>
              <w:t xml:space="preserve">portfolio or an </w:t>
            </w:r>
            <w:r w:rsidR="00C769FE">
              <w:rPr>
                <w:rFonts w:ascii="Palatino Linotype" w:hAnsi="Palatino Linotype"/>
                <w:bCs/>
                <w:i/>
                <w:iCs/>
                <w:sz w:val="24"/>
                <w:szCs w:val="24"/>
              </w:rPr>
              <w:t>interloper</w:t>
            </w:r>
            <w:r>
              <w:rPr>
                <w:rFonts w:ascii="Palatino Linotype" w:hAnsi="Palatino Linotype"/>
                <w:bCs/>
                <w:i/>
                <w:iCs/>
                <w:sz w:val="24"/>
                <w:szCs w:val="24"/>
              </w:rPr>
              <w:t xml:space="preserve"> </w:t>
            </w:r>
            <w:r w:rsidR="00C769FE">
              <w:rPr>
                <w:rFonts w:ascii="Palatino Linotype" w:hAnsi="Palatino Linotype"/>
                <w:bCs/>
                <w:i/>
                <w:iCs/>
                <w:sz w:val="24"/>
                <w:szCs w:val="24"/>
              </w:rPr>
              <w:t>in your</w:t>
            </w:r>
            <w:r>
              <w:rPr>
                <w:rFonts w:ascii="Palatino Linotype" w:hAnsi="Palatino Linotype"/>
                <w:bCs/>
                <w:i/>
                <w:iCs/>
                <w:sz w:val="24"/>
                <w:szCs w:val="24"/>
              </w:rPr>
              <w:t xml:space="preserve"> portfolio</w:t>
            </w:r>
            <w:r w:rsidR="0044117A">
              <w:rPr>
                <w:rFonts w:ascii="Palatino Linotype" w:hAnsi="Palatino Linotype"/>
                <w:bCs/>
                <w:i/>
                <w:iCs/>
                <w:sz w:val="24"/>
                <w:szCs w:val="24"/>
              </w:rPr>
              <w:t xml:space="preserve"> mix</w:t>
            </w:r>
          </w:p>
          <w:p w14:paraId="7F798F86" w14:textId="669DAD80" w:rsidR="00264206" w:rsidRDefault="005339BF" w:rsidP="0011356A">
            <w:pPr>
              <w:pStyle w:val="TableParagraph"/>
              <w:jc w:val="both"/>
              <w:rPr>
                <w:sz w:val="20"/>
                <w:szCs w:val="20"/>
              </w:rPr>
            </w:pPr>
            <w:r>
              <w:rPr>
                <w:bCs/>
                <w:sz w:val="20"/>
                <w:szCs w:val="20"/>
              </w:rPr>
              <w:br/>
            </w:r>
            <w:r w:rsidR="00264206" w:rsidRPr="0011356A">
              <w:rPr>
                <w:bCs/>
                <w:sz w:val="20"/>
                <w:szCs w:val="20"/>
              </w:rPr>
              <w:t>MOTION:</w:t>
            </w:r>
            <w:r w:rsidR="00264206" w:rsidRPr="0011356A">
              <w:rPr>
                <w:bCs/>
              </w:rPr>
              <w:t xml:space="preserve">  </w:t>
            </w:r>
            <w:r w:rsidR="00734D6B">
              <w:rPr>
                <w:sz w:val="20"/>
                <w:szCs w:val="20"/>
              </w:rPr>
              <w:t xml:space="preserve">The </w:t>
            </w:r>
            <w:r w:rsidR="00264206" w:rsidRPr="0011356A">
              <w:rPr>
                <w:sz w:val="20"/>
                <w:szCs w:val="20"/>
              </w:rPr>
              <w:t>valuation of NFTs is influenced by the vagaries of individual demand as opposed to sound economic indicators. In the absence of the ability to trade &amp; exchange them for currency, NFTs pose a risky investment proposition for would-be investors</w:t>
            </w:r>
          </w:p>
          <w:p w14:paraId="5B0DB7D1" w14:textId="191711A0" w:rsidR="00AA0D6C" w:rsidRDefault="00AA0D6C" w:rsidP="00234F7A">
            <w:pPr>
              <w:pStyle w:val="TableParagraph"/>
              <w:jc w:val="both"/>
              <w:rPr>
                <w:bCs/>
                <w:sz w:val="20"/>
                <w:szCs w:val="20"/>
              </w:rPr>
            </w:pPr>
          </w:p>
        </w:tc>
      </w:tr>
      <w:tr w:rsidR="00883488" w14:paraId="78D6FDAE" w14:textId="77777777" w:rsidTr="0056209E">
        <w:trPr>
          <w:trHeight w:val="612"/>
        </w:trPr>
        <w:tc>
          <w:tcPr>
            <w:tcW w:w="12983" w:type="dxa"/>
            <w:vAlign w:val="center"/>
          </w:tcPr>
          <w:p w14:paraId="20C7AAEA" w14:textId="46430D2D" w:rsidR="00883488" w:rsidRDefault="00883488" w:rsidP="00640732">
            <w:pPr>
              <w:pStyle w:val="TableParagraph"/>
              <w:rPr>
                <w:bCs/>
                <w:sz w:val="20"/>
                <w:szCs w:val="20"/>
              </w:rPr>
            </w:pPr>
            <w:r>
              <w:rPr>
                <w:bCs/>
                <w:sz w:val="20"/>
                <w:szCs w:val="20"/>
              </w:rPr>
              <w:t>1700 – 1</w:t>
            </w:r>
            <w:r w:rsidR="00221141">
              <w:rPr>
                <w:bCs/>
                <w:sz w:val="20"/>
                <w:szCs w:val="20"/>
              </w:rPr>
              <w:t>75</w:t>
            </w:r>
            <w:r>
              <w:rPr>
                <w:bCs/>
                <w:sz w:val="20"/>
                <w:szCs w:val="20"/>
              </w:rPr>
              <w:t>0 hrs: Panel Discussion</w:t>
            </w:r>
          </w:p>
          <w:p w14:paraId="130DD8B7" w14:textId="77777777" w:rsidR="00883488" w:rsidRDefault="00883488" w:rsidP="00640732">
            <w:pPr>
              <w:pStyle w:val="TableParagraph"/>
              <w:rPr>
                <w:bCs/>
                <w:sz w:val="20"/>
                <w:szCs w:val="20"/>
              </w:rPr>
            </w:pPr>
          </w:p>
          <w:p w14:paraId="73BFC7C6" w14:textId="0CCAE9B7" w:rsidR="008E672E" w:rsidRDefault="00665FBE" w:rsidP="008E672E">
            <w:pPr>
              <w:pStyle w:val="TableParagraph"/>
              <w:rPr>
                <w:b/>
                <w:i/>
                <w:iCs/>
              </w:rPr>
            </w:pPr>
            <w:r>
              <w:rPr>
                <w:rFonts w:ascii="Palatino Linotype" w:hAnsi="Palatino Linotype"/>
                <w:bCs/>
                <w:i/>
                <w:iCs/>
                <w:sz w:val="24"/>
                <w:szCs w:val="24"/>
              </w:rPr>
              <w:t>T</w:t>
            </w:r>
            <w:r w:rsidR="008E672E">
              <w:rPr>
                <w:rFonts w:ascii="Palatino Linotype" w:hAnsi="Palatino Linotype"/>
                <w:bCs/>
                <w:i/>
                <w:iCs/>
                <w:sz w:val="24"/>
                <w:szCs w:val="24"/>
              </w:rPr>
              <w:t>imely policymaking in cementing India’s leadership in Web 3.0 innovation</w:t>
            </w:r>
          </w:p>
          <w:p w14:paraId="1F5FE274" w14:textId="77777777" w:rsidR="008E672E" w:rsidRDefault="008E672E" w:rsidP="008E672E">
            <w:pPr>
              <w:jc w:val="both"/>
            </w:pPr>
          </w:p>
          <w:p w14:paraId="3C7F48CB" w14:textId="382CDCE5" w:rsidR="008E672E" w:rsidRDefault="008E672E" w:rsidP="008E672E">
            <w:pPr>
              <w:jc w:val="both"/>
              <w:rPr>
                <w:sz w:val="20"/>
                <w:szCs w:val="20"/>
              </w:rPr>
            </w:pPr>
            <w:r w:rsidRPr="00052364">
              <w:rPr>
                <w:sz w:val="20"/>
                <w:szCs w:val="20"/>
              </w:rPr>
              <w:t xml:space="preserve">Be it combatting numerous public sector problems or buttressing financial systems with blockchain technology or driving efficiency in manufacturing supply chains or </w:t>
            </w:r>
            <w:r>
              <w:rPr>
                <w:sz w:val="20"/>
                <w:szCs w:val="20"/>
              </w:rPr>
              <w:t>preserv</w:t>
            </w:r>
            <w:r w:rsidRPr="00052364">
              <w:rPr>
                <w:sz w:val="20"/>
                <w:szCs w:val="20"/>
              </w:rPr>
              <w:t xml:space="preserve">ing inviolability &amp; privacy of healthcare </w:t>
            </w:r>
            <w:r>
              <w:rPr>
                <w:sz w:val="20"/>
                <w:szCs w:val="20"/>
              </w:rPr>
              <w:t>&amp;</w:t>
            </w:r>
            <w:r w:rsidRPr="00052364">
              <w:rPr>
                <w:sz w:val="20"/>
                <w:szCs w:val="20"/>
              </w:rPr>
              <w:t xml:space="preserve"> property records,</w:t>
            </w:r>
            <w:r>
              <w:rPr>
                <w:sz w:val="20"/>
                <w:szCs w:val="20"/>
              </w:rPr>
              <w:t xml:space="preserve"> an open-source web has the power to solve many of humanity’s problems.</w:t>
            </w:r>
            <w:r w:rsidRPr="00052364">
              <w:rPr>
                <w:sz w:val="20"/>
                <w:szCs w:val="20"/>
              </w:rPr>
              <w:t xml:space="preserve"> </w:t>
            </w:r>
            <w:r>
              <w:rPr>
                <w:sz w:val="20"/>
                <w:szCs w:val="20"/>
              </w:rPr>
              <w:t>I</w:t>
            </w:r>
            <w:r w:rsidRPr="00052364">
              <w:rPr>
                <w:sz w:val="20"/>
                <w:szCs w:val="20"/>
              </w:rPr>
              <w:t xml:space="preserve">t is incumbent on governments to create policy frameworks that define &amp; enforce a governance structure for </w:t>
            </w:r>
            <w:r>
              <w:rPr>
                <w:sz w:val="20"/>
                <w:szCs w:val="20"/>
              </w:rPr>
              <w:t>a nascent</w:t>
            </w:r>
            <w:r w:rsidRPr="00052364">
              <w:rPr>
                <w:sz w:val="20"/>
                <w:szCs w:val="20"/>
              </w:rPr>
              <w:t xml:space="preserve"> Web</w:t>
            </w:r>
            <w:r>
              <w:rPr>
                <w:sz w:val="20"/>
                <w:szCs w:val="20"/>
              </w:rPr>
              <w:t xml:space="preserve"> </w:t>
            </w:r>
            <w:r w:rsidRPr="00052364">
              <w:rPr>
                <w:sz w:val="20"/>
                <w:szCs w:val="20"/>
              </w:rPr>
              <w:t>3</w:t>
            </w:r>
            <w:r>
              <w:rPr>
                <w:sz w:val="20"/>
                <w:szCs w:val="20"/>
              </w:rPr>
              <w:t>.0</w:t>
            </w:r>
            <w:r w:rsidRPr="00052364">
              <w:rPr>
                <w:sz w:val="20"/>
                <w:szCs w:val="20"/>
              </w:rPr>
              <w:t>. Join us for an engaging discussion on the role of conducive policymaking in leveraging the power of Web</w:t>
            </w:r>
            <w:r>
              <w:rPr>
                <w:sz w:val="20"/>
                <w:szCs w:val="20"/>
              </w:rPr>
              <w:t xml:space="preserve"> </w:t>
            </w:r>
            <w:r w:rsidRPr="00052364">
              <w:rPr>
                <w:sz w:val="20"/>
                <w:szCs w:val="20"/>
              </w:rPr>
              <w:t>3</w:t>
            </w:r>
            <w:r>
              <w:rPr>
                <w:sz w:val="20"/>
                <w:szCs w:val="20"/>
              </w:rPr>
              <w:t>.0</w:t>
            </w:r>
            <w:r w:rsidRPr="00052364">
              <w:rPr>
                <w:sz w:val="20"/>
                <w:szCs w:val="20"/>
              </w:rPr>
              <w:t xml:space="preserve"> for national interest</w:t>
            </w:r>
          </w:p>
          <w:p w14:paraId="5E803DFD" w14:textId="027294AC" w:rsidR="005F797D" w:rsidRPr="000E5861" w:rsidRDefault="005F797D" w:rsidP="00995928">
            <w:pPr>
              <w:jc w:val="both"/>
              <w:rPr>
                <w:bCs/>
                <w:sz w:val="20"/>
                <w:szCs w:val="20"/>
              </w:rPr>
            </w:pPr>
          </w:p>
        </w:tc>
      </w:tr>
    </w:tbl>
    <w:tbl>
      <w:tblPr>
        <w:tblStyle w:val="TableGrid"/>
        <w:tblW w:w="0" w:type="auto"/>
        <w:tblLook w:val="04A0" w:firstRow="1" w:lastRow="0" w:firstColumn="1" w:lastColumn="0" w:noHBand="0" w:noVBand="1"/>
      </w:tblPr>
      <w:tblGrid>
        <w:gridCol w:w="13210"/>
      </w:tblGrid>
      <w:tr w:rsidR="00FC0760" w14:paraId="5C769470" w14:textId="77777777" w:rsidTr="00FC0760">
        <w:tc>
          <w:tcPr>
            <w:tcW w:w="13210" w:type="dxa"/>
          </w:tcPr>
          <w:p w14:paraId="3383A5A6" w14:textId="65201BB2" w:rsidR="00FC0760" w:rsidRPr="0050094B" w:rsidRDefault="00FC0760" w:rsidP="00FC0760">
            <w:pPr>
              <w:pStyle w:val="TableParagraph"/>
              <w:rPr>
                <w:i/>
                <w:iCs/>
              </w:rPr>
            </w:pPr>
            <w:r w:rsidRPr="0050094B">
              <w:rPr>
                <w:i/>
                <w:iCs/>
                <w:sz w:val="32"/>
                <w:szCs w:val="32"/>
              </w:rPr>
              <w:lastRenderedPageBreak/>
              <w:t>Day II</w:t>
            </w:r>
          </w:p>
        </w:tc>
      </w:tr>
      <w:tr w:rsidR="00FC0760" w14:paraId="23CE6766" w14:textId="77777777" w:rsidTr="00FC0760">
        <w:tc>
          <w:tcPr>
            <w:tcW w:w="13210" w:type="dxa"/>
          </w:tcPr>
          <w:p w14:paraId="3275CD28" w14:textId="2767DFCF" w:rsidR="00FC0760" w:rsidRPr="00FC0760" w:rsidRDefault="00FC0760" w:rsidP="00FC0760">
            <w:pPr>
              <w:pStyle w:val="TableParagraph"/>
              <w:rPr>
                <w:sz w:val="20"/>
                <w:szCs w:val="20"/>
              </w:rPr>
            </w:pPr>
            <w:r w:rsidRPr="00FC0760">
              <w:rPr>
                <w:sz w:val="20"/>
                <w:szCs w:val="20"/>
              </w:rPr>
              <w:t>1000 – 1</w:t>
            </w:r>
            <w:r w:rsidR="003B2421">
              <w:rPr>
                <w:sz w:val="20"/>
                <w:szCs w:val="20"/>
              </w:rPr>
              <w:t>05</w:t>
            </w:r>
            <w:r w:rsidRPr="00FC0760">
              <w:rPr>
                <w:sz w:val="20"/>
                <w:szCs w:val="20"/>
              </w:rPr>
              <w:t>0 hrs: Panel Discussion</w:t>
            </w:r>
          </w:p>
          <w:p w14:paraId="45116FBF" w14:textId="48F8CEEC" w:rsidR="00FC0760" w:rsidRDefault="00FC0760" w:rsidP="00FC0760">
            <w:pPr>
              <w:pStyle w:val="TableParagraph"/>
            </w:pPr>
          </w:p>
          <w:p w14:paraId="2C1C1F74" w14:textId="77777777" w:rsidR="00FC0760" w:rsidRDefault="00FC0760" w:rsidP="00FC0760">
            <w:pPr>
              <w:pStyle w:val="TableParagraph"/>
              <w:rPr>
                <w:rFonts w:ascii="Palatino Linotype" w:hAnsi="Palatino Linotype"/>
                <w:bCs/>
                <w:i/>
                <w:iCs/>
                <w:sz w:val="24"/>
                <w:szCs w:val="24"/>
              </w:rPr>
            </w:pPr>
            <w:r>
              <w:rPr>
                <w:rFonts w:ascii="Palatino Linotype" w:hAnsi="Palatino Linotype"/>
                <w:bCs/>
                <w:i/>
                <w:iCs/>
                <w:sz w:val="24"/>
                <w:szCs w:val="24"/>
              </w:rPr>
              <w:t>What does the future of CBDC hold?</w:t>
            </w:r>
          </w:p>
          <w:p w14:paraId="4DEF656E" w14:textId="77777777" w:rsidR="00FC0760" w:rsidRDefault="00FC0760" w:rsidP="00FC0760">
            <w:pPr>
              <w:jc w:val="both"/>
              <w:rPr>
                <w:rFonts w:ascii="Calibri" w:eastAsia="Calibri" w:hAnsi="Calibri"/>
                <w:color w:val="222222"/>
                <w:shd w:val="clear" w:color="auto" w:fill="FFFFFF"/>
              </w:rPr>
            </w:pPr>
          </w:p>
          <w:p w14:paraId="251FD009" w14:textId="08ED0FF2" w:rsidR="00FC0760" w:rsidRDefault="00FC0760" w:rsidP="00B57831">
            <w:pPr>
              <w:jc w:val="both"/>
            </w:pPr>
            <w:r>
              <w:rPr>
                <w:rFonts w:eastAsia="Calibri"/>
                <w:color w:val="222222"/>
                <w:sz w:val="20"/>
                <w:szCs w:val="20"/>
                <w:shd w:val="clear" w:color="auto" w:fill="FFFFFF"/>
              </w:rPr>
              <w:t>The advent and evolution of crypto &amp; blockchain have generated g</w:t>
            </w:r>
            <w:r w:rsidRPr="00F811D0">
              <w:rPr>
                <w:rFonts w:eastAsia="Calibri"/>
                <w:color w:val="222222"/>
                <w:sz w:val="20"/>
                <w:szCs w:val="20"/>
                <w:shd w:val="clear" w:color="auto" w:fill="FFFFFF"/>
              </w:rPr>
              <w:t>reater interest in the perpetuation of cashless economies with Governments &amp; central banks mulling the possibility of using government-backed digital currencies. This session weighs the economic &amp; social opportunities available to the common man with the launch of a digital fiat currency that offers the security of Gov</w:t>
            </w:r>
            <w:r>
              <w:rPr>
                <w:rFonts w:eastAsia="Calibri"/>
                <w:color w:val="222222"/>
                <w:sz w:val="20"/>
                <w:szCs w:val="20"/>
                <w:shd w:val="clear" w:color="auto" w:fill="FFFFFF"/>
              </w:rPr>
              <w:t xml:space="preserve">ernment backing minus the </w:t>
            </w:r>
            <w:r w:rsidR="00A51625">
              <w:rPr>
                <w:rFonts w:eastAsia="Calibri"/>
                <w:color w:val="222222"/>
                <w:sz w:val="20"/>
                <w:szCs w:val="20"/>
                <w:shd w:val="clear" w:color="auto" w:fill="FFFFFF"/>
              </w:rPr>
              <w:t xml:space="preserve">purported </w:t>
            </w:r>
            <w:r>
              <w:rPr>
                <w:rFonts w:eastAsia="Calibri"/>
                <w:color w:val="222222"/>
                <w:sz w:val="20"/>
                <w:szCs w:val="20"/>
                <w:shd w:val="clear" w:color="auto" w:fill="FFFFFF"/>
              </w:rPr>
              <w:t>volatility of crypto, eliminating intermediary risk and providing businesses &amp; consumers with privacy, transferability, convenience, accessibility &amp; financial security</w:t>
            </w:r>
          </w:p>
          <w:p w14:paraId="1A860DDC" w14:textId="09444775" w:rsidR="00FC0760" w:rsidRPr="009F53D3" w:rsidRDefault="00FC0760" w:rsidP="00FC0760">
            <w:pPr>
              <w:pStyle w:val="TableParagraph"/>
              <w:rPr>
                <w:sz w:val="20"/>
                <w:szCs w:val="20"/>
              </w:rPr>
            </w:pPr>
          </w:p>
        </w:tc>
      </w:tr>
      <w:tr w:rsidR="00FC0760" w14:paraId="7EB7B86D" w14:textId="77777777" w:rsidTr="00FC0760">
        <w:tc>
          <w:tcPr>
            <w:tcW w:w="13210" w:type="dxa"/>
          </w:tcPr>
          <w:p w14:paraId="7DA2B2CD" w14:textId="20D0AD8A" w:rsidR="00B57831" w:rsidRDefault="003B2421" w:rsidP="003B2421">
            <w:pPr>
              <w:jc w:val="center"/>
              <w:rPr>
                <w:sz w:val="20"/>
                <w:szCs w:val="20"/>
              </w:rPr>
            </w:pPr>
            <w:r>
              <w:rPr>
                <w:sz w:val="20"/>
                <w:szCs w:val="20"/>
              </w:rPr>
              <w:t>1050 hrs – 1140 hrs: Panel Discussion</w:t>
            </w:r>
          </w:p>
          <w:p w14:paraId="009E475A" w14:textId="5323EE5C" w:rsidR="003B2421" w:rsidRDefault="003B2421" w:rsidP="003B2421">
            <w:pPr>
              <w:jc w:val="center"/>
              <w:rPr>
                <w:sz w:val="20"/>
                <w:szCs w:val="20"/>
              </w:rPr>
            </w:pPr>
          </w:p>
          <w:p w14:paraId="77E406FD" w14:textId="77777777" w:rsidR="00DC741A" w:rsidRPr="007A75F6" w:rsidRDefault="00DC741A" w:rsidP="00DC741A">
            <w:pPr>
              <w:pStyle w:val="TableParagraph"/>
              <w:rPr>
                <w:rFonts w:ascii="Palatino Linotype" w:hAnsi="Palatino Linotype"/>
                <w:i/>
                <w:iCs/>
                <w:sz w:val="24"/>
                <w:szCs w:val="24"/>
              </w:rPr>
            </w:pPr>
            <w:r w:rsidRPr="007A75F6">
              <w:rPr>
                <w:rFonts w:ascii="Palatino Linotype" w:hAnsi="Palatino Linotype"/>
                <w:i/>
                <w:iCs/>
                <w:sz w:val="24"/>
                <w:szCs w:val="24"/>
              </w:rPr>
              <w:t>Tokenising real world assets – Charting the path towards mass adoption &amp; acceptance</w:t>
            </w:r>
          </w:p>
          <w:p w14:paraId="29B58320" w14:textId="77777777" w:rsidR="003B2421" w:rsidRPr="00612EC7" w:rsidRDefault="003B2421" w:rsidP="00612EC7">
            <w:pPr>
              <w:jc w:val="both"/>
              <w:rPr>
                <w:sz w:val="20"/>
                <w:szCs w:val="20"/>
              </w:rPr>
            </w:pPr>
          </w:p>
          <w:p w14:paraId="7E950C36" w14:textId="08083A87" w:rsidR="003B2421" w:rsidRDefault="00500581" w:rsidP="00221141">
            <w:pPr>
              <w:jc w:val="both"/>
              <w:rPr>
                <w:sz w:val="20"/>
                <w:szCs w:val="20"/>
              </w:rPr>
            </w:pPr>
            <w:r>
              <w:rPr>
                <w:sz w:val="20"/>
                <w:szCs w:val="20"/>
              </w:rPr>
              <w:t>There exists renewed vigour in deploying blockchain tech to ascertain ownership credentials of traditional assets such as property &amp; equities. Similarly</w:t>
            </w:r>
            <w:r w:rsidR="00B84735">
              <w:rPr>
                <w:sz w:val="20"/>
                <w:szCs w:val="20"/>
              </w:rPr>
              <w:t>,</w:t>
            </w:r>
            <w:r>
              <w:rPr>
                <w:sz w:val="20"/>
                <w:szCs w:val="20"/>
              </w:rPr>
              <w:t xml:space="preserve"> VC</w:t>
            </w:r>
            <w:r w:rsidR="00B84735">
              <w:rPr>
                <w:sz w:val="20"/>
                <w:szCs w:val="20"/>
              </w:rPr>
              <w:t>s</w:t>
            </w:r>
            <w:r>
              <w:rPr>
                <w:sz w:val="20"/>
                <w:szCs w:val="20"/>
              </w:rPr>
              <w:t>, startups</w:t>
            </w:r>
            <w:r w:rsidR="00B84735">
              <w:rPr>
                <w:sz w:val="20"/>
                <w:szCs w:val="20"/>
              </w:rPr>
              <w:t>,</w:t>
            </w:r>
            <w:r>
              <w:rPr>
                <w:sz w:val="20"/>
                <w:szCs w:val="20"/>
              </w:rPr>
              <w:t xml:space="preserve"> &amp; brands are hedging their bets on a seismic shift on culture &amp; entertainment coming out of </w:t>
            </w:r>
            <w:r w:rsidR="000C7C07">
              <w:rPr>
                <w:sz w:val="20"/>
                <w:szCs w:val="20"/>
              </w:rPr>
              <w:t>tokeni</w:t>
            </w:r>
            <w:r w:rsidR="008472FB">
              <w:rPr>
                <w:sz w:val="20"/>
                <w:szCs w:val="20"/>
              </w:rPr>
              <w:t>s</w:t>
            </w:r>
            <w:r w:rsidR="000C7C07">
              <w:rPr>
                <w:sz w:val="20"/>
                <w:szCs w:val="20"/>
              </w:rPr>
              <w:t xml:space="preserve">ation. Such tokenisation promises 24/7 trading of traditional </w:t>
            </w:r>
            <w:r w:rsidR="00B84735">
              <w:rPr>
                <w:sz w:val="20"/>
                <w:szCs w:val="20"/>
              </w:rPr>
              <w:t>assets</w:t>
            </w:r>
            <w:r w:rsidR="000C7C07">
              <w:rPr>
                <w:sz w:val="20"/>
                <w:szCs w:val="20"/>
              </w:rPr>
              <w:t xml:space="preserve"> and fractionalisation of ownership in industries as wide-ranging as real estate, fine arts, stock brokerage, media &amp; entertainment. Join us as industry veterans </w:t>
            </w:r>
            <w:r w:rsidR="00B166DD">
              <w:rPr>
                <w:sz w:val="20"/>
                <w:szCs w:val="20"/>
              </w:rPr>
              <w:t>trace</w:t>
            </w:r>
            <w:r w:rsidR="000C7C07">
              <w:rPr>
                <w:sz w:val="20"/>
                <w:szCs w:val="20"/>
              </w:rPr>
              <w:t xml:space="preserve"> the path towards mass adoption &amp; acceptance</w:t>
            </w:r>
          </w:p>
          <w:p w14:paraId="2D9315CA" w14:textId="5044E86A" w:rsidR="000C7C07" w:rsidRPr="00FC0760" w:rsidRDefault="000C7C07" w:rsidP="00221141">
            <w:pPr>
              <w:jc w:val="both"/>
              <w:rPr>
                <w:sz w:val="20"/>
                <w:szCs w:val="20"/>
              </w:rPr>
            </w:pPr>
          </w:p>
        </w:tc>
      </w:tr>
      <w:tr w:rsidR="00FD0E26" w14:paraId="458357E7" w14:textId="77777777" w:rsidTr="00FC0760">
        <w:tc>
          <w:tcPr>
            <w:tcW w:w="13210" w:type="dxa"/>
          </w:tcPr>
          <w:p w14:paraId="5B3B8E18" w14:textId="37AD9462" w:rsidR="00FD0E26" w:rsidRDefault="00FD0E26" w:rsidP="00FC0760">
            <w:pPr>
              <w:pStyle w:val="TableParagraph"/>
              <w:rPr>
                <w:sz w:val="20"/>
                <w:szCs w:val="20"/>
              </w:rPr>
            </w:pPr>
            <w:r>
              <w:rPr>
                <w:sz w:val="20"/>
                <w:szCs w:val="20"/>
              </w:rPr>
              <w:t>1</w:t>
            </w:r>
            <w:r w:rsidR="001A7CE7">
              <w:rPr>
                <w:sz w:val="20"/>
                <w:szCs w:val="20"/>
              </w:rPr>
              <w:t>14</w:t>
            </w:r>
            <w:r>
              <w:rPr>
                <w:sz w:val="20"/>
                <w:szCs w:val="20"/>
              </w:rPr>
              <w:t>0 hrs – 1</w:t>
            </w:r>
            <w:r w:rsidR="001A7CE7">
              <w:rPr>
                <w:sz w:val="20"/>
                <w:szCs w:val="20"/>
              </w:rPr>
              <w:t>23</w:t>
            </w:r>
            <w:r>
              <w:rPr>
                <w:sz w:val="20"/>
                <w:szCs w:val="20"/>
              </w:rPr>
              <w:t>0 hrs: Panel Discussion</w:t>
            </w:r>
          </w:p>
          <w:p w14:paraId="6F7D26A4" w14:textId="77777777" w:rsidR="00FD0E26" w:rsidRDefault="00FD0E26" w:rsidP="00FC0760">
            <w:pPr>
              <w:pStyle w:val="TableParagraph"/>
              <w:rPr>
                <w:sz w:val="20"/>
                <w:szCs w:val="20"/>
              </w:rPr>
            </w:pPr>
          </w:p>
          <w:p w14:paraId="51A10219" w14:textId="4CA59E23" w:rsidR="00FD0E26" w:rsidRPr="00FF0BBE" w:rsidRDefault="00F105A1" w:rsidP="00FC0760">
            <w:pPr>
              <w:pStyle w:val="TableParagraph"/>
              <w:rPr>
                <w:rFonts w:ascii="Palatino Linotype" w:hAnsi="Palatino Linotype"/>
                <w:i/>
                <w:iCs/>
                <w:sz w:val="24"/>
                <w:szCs w:val="24"/>
              </w:rPr>
            </w:pPr>
            <w:r>
              <w:rPr>
                <w:rFonts w:ascii="Palatino Linotype" w:hAnsi="Palatino Linotype"/>
                <w:i/>
                <w:iCs/>
                <w:sz w:val="24"/>
                <w:szCs w:val="24"/>
              </w:rPr>
              <w:t xml:space="preserve">Web 3.0 &amp; the future of </w:t>
            </w:r>
            <w:r w:rsidR="00FB42C0">
              <w:rPr>
                <w:rFonts w:ascii="Palatino Linotype" w:hAnsi="Palatino Linotype"/>
                <w:i/>
                <w:iCs/>
                <w:sz w:val="24"/>
                <w:szCs w:val="24"/>
              </w:rPr>
              <w:t>entertainment</w:t>
            </w:r>
            <w:r>
              <w:rPr>
                <w:rFonts w:ascii="Palatino Linotype" w:hAnsi="Palatino Linotype"/>
                <w:i/>
                <w:iCs/>
                <w:sz w:val="24"/>
                <w:szCs w:val="24"/>
              </w:rPr>
              <w:t xml:space="preserve"> – Reconceiving the fandom experience</w:t>
            </w:r>
          </w:p>
          <w:p w14:paraId="5BF68A88" w14:textId="77777777" w:rsidR="00FD0E26" w:rsidRDefault="00FD0E26" w:rsidP="00947A4B">
            <w:pPr>
              <w:pStyle w:val="TableParagraph"/>
              <w:jc w:val="both"/>
              <w:rPr>
                <w:sz w:val="20"/>
                <w:szCs w:val="20"/>
              </w:rPr>
            </w:pPr>
          </w:p>
          <w:p w14:paraId="27750456" w14:textId="6AB10F40" w:rsidR="00FD0E26" w:rsidRDefault="00F105A1" w:rsidP="00947A4B">
            <w:pPr>
              <w:pStyle w:val="TableParagraph"/>
              <w:jc w:val="both"/>
              <w:rPr>
                <w:sz w:val="20"/>
                <w:szCs w:val="20"/>
              </w:rPr>
            </w:pPr>
            <w:r>
              <w:rPr>
                <w:sz w:val="20"/>
                <w:szCs w:val="20"/>
              </w:rPr>
              <w:t xml:space="preserve">What happens when an exponentially bourgeoning creator economy meets </w:t>
            </w:r>
            <w:r w:rsidR="007E1D43">
              <w:rPr>
                <w:sz w:val="20"/>
                <w:szCs w:val="20"/>
              </w:rPr>
              <w:t xml:space="preserve">the </w:t>
            </w:r>
            <w:r>
              <w:rPr>
                <w:sz w:val="20"/>
                <w:szCs w:val="20"/>
              </w:rPr>
              <w:t xml:space="preserve">blockchain, NFTs, &amp; the metaverse. </w:t>
            </w:r>
            <w:r w:rsidR="00646F9D">
              <w:rPr>
                <w:sz w:val="20"/>
                <w:szCs w:val="20"/>
              </w:rPr>
              <w:t>With NFTs allowing ownership, fractionali</w:t>
            </w:r>
            <w:r w:rsidR="00BC3F0B">
              <w:rPr>
                <w:sz w:val="20"/>
                <w:szCs w:val="20"/>
              </w:rPr>
              <w:t>s</w:t>
            </w:r>
            <w:r w:rsidR="00646F9D">
              <w:rPr>
                <w:sz w:val="20"/>
                <w:szCs w:val="20"/>
              </w:rPr>
              <w:t>ation &amp; commoditi</w:t>
            </w:r>
            <w:r w:rsidR="00BC3F0B">
              <w:rPr>
                <w:sz w:val="20"/>
                <w:szCs w:val="20"/>
              </w:rPr>
              <w:t>s</w:t>
            </w:r>
            <w:r w:rsidR="00646F9D">
              <w:rPr>
                <w:sz w:val="20"/>
                <w:szCs w:val="20"/>
              </w:rPr>
              <w:t>ation of creator works in an immersive world verisimilar to real-world experience</w:t>
            </w:r>
            <w:r w:rsidR="00577BB2">
              <w:rPr>
                <w:sz w:val="20"/>
                <w:szCs w:val="20"/>
              </w:rPr>
              <w:t>s &amp; interactions</w:t>
            </w:r>
            <w:r w:rsidR="00646F9D">
              <w:rPr>
                <w:sz w:val="20"/>
                <w:szCs w:val="20"/>
              </w:rPr>
              <w:t xml:space="preserve">, we are in for turbocharged growth of traditional media &amp; entertainment economies, with </w:t>
            </w:r>
            <w:r w:rsidR="00FB42C0">
              <w:rPr>
                <w:sz w:val="20"/>
                <w:szCs w:val="20"/>
              </w:rPr>
              <w:t xml:space="preserve">celebrity culture, sport, film, &amp; </w:t>
            </w:r>
            <w:r w:rsidR="00646F9D">
              <w:rPr>
                <w:sz w:val="20"/>
                <w:szCs w:val="20"/>
              </w:rPr>
              <w:t xml:space="preserve">music leading from the front. </w:t>
            </w:r>
            <w:r>
              <w:rPr>
                <w:sz w:val="20"/>
                <w:szCs w:val="20"/>
              </w:rPr>
              <w:t xml:space="preserve">Join us as we take today’s fan through a surreal virtual experience of fun, play &amp; interaction with M&amp;E artists, sports celebrities, &amp; luminaries </w:t>
            </w:r>
            <w:r w:rsidR="004543A8">
              <w:rPr>
                <w:sz w:val="20"/>
                <w:szCs w:val="20"/>
              </w:rPr>
              <w:t>of</w:t>
            </w:r>
            <w:r>
              <w:rPr>
                <w:sz w:val="20"/>
                <w:szCs w:val="20"/>
              </w:rPr>
              <w:t xml:space="preserve"> vast creative potential. </w:t>
            </w:r>
            <w:r w:rsidR="007E1D43">
              <w:rPr>
                <w:sz w:val="20"/>
                <w:szCs w:val="20"/>
              </w:rPr>
              <w:t>This session discusses how growth of creator economies in a virtual world with an uncanny semblance to reality provide Gen Z</w:t>
            </w:r>
            <w:r w:rsidR="00646F9D">
              <w:rPr>
                <w:sz w:val="20"/>
                <w:szCs w:val="20"/>
              </w:rPr>
              <w:t>,</w:t>
            </w:r>
            <w:r w:rsidR="007E1D43">
              <w:rPr>
                <w:sz w:val="20"/>
                <w:szCs w:val="20"/>
              </w:rPr>
              <w:t xml:space="preserve"> millennials</w:t>
            </w:r>
            <w:r w:rsidR="00646F9D">
              <w:rPr>
                <w:sz w:val="20"/>
                <w:szCs w:val="20"/>
              </w:rPr>
              <w:t>, and others</w:t>
            </w:r>
            <w:r w:rsidR="007E1D43">
              <w:rPr>
                <w:sz w:val="20"/>
                <w:szCs w:val="20"/>
              </w:rPr>
              <w:t xml:space="preserve"> with a medium </w:t>
            </w:r>
            <w:r w:rsidR="00646F9D">
              <w:rPr>
                <w:sz w:val="20"/>
                <w:szCs w:val="20"/>
              </w:rPr>
              <w:t>to</w:t>
            </w:r>
            <w:r w:rsidR="007E1D43">
              <w:rPr>
                <w:sz w:val="20"/>
                <w:szCs w:val="20"/>
              </w:rPr>
              <w:t xml:space="preserve"> engage</w:t>
            </w:r>
            <w:r w:rsidR="00646F9D">
              <w:rPr>
                <w:sz w:val="20"/>
                <w:szCs w:val="20"/>
              </w:rPr>
              <w:t>,</w:t>
            </w:r>
            <w:r w:rsidR="007E1D43">
              <w:rPr>
                <w:sz w:val="20"/>
                <w:szCs w:val="20"/>
              </w:rPr>
              <w:t xml:space="preserve"> experience</w:t>
            </w:r>
            <w:r w:rsidR="00646F9D">
              <w:rPr>
                <w:sz w:val="20"/>
                <w:szCs w:val="20"/>
              </w:rPr>
              <w:t xml:space="preserve"> &amp; celebrate</w:t>
            </w:r>
            <w:r w:rsidR="007E1D43">
              <w:rPr>
                <w:sz w:val="20"/>
                <w:szCs w:val="20"/>
              </w:rPr>
              <w:t xml:space="preserve"> their favourite artists</w:t>
            </w:r>
          </w:p>
          <w:p w14:paraId="240DEE80" w14:textId="5060AA60" w:rsidR="00F105A1" w:rsidRDefault="00F105A1" w:rsidP="00947A4B">
            <w:pPr>
              <w:pStyle w:val="TableParagraph"/>
              <w:jc w:val="both"/>
              <w:rPr>
                <w:sz w:val="20"/>
                <w:szCs w:val="20"/>
              </w:rPr>
            </w:pPr>
          </w:p>
        </w:tc>
      </w:tr>
      <w:tr w:rsidR="00FF0BBE" w14:paraId="446A6CC6" w14:textId="77777777" w:rsidTr="00FC0760">
        <w:tc>
          <w:tcPr>
            <w:tcW w:w="13210" w:type="dxa"/>
          </w:tcPr>
          <w:p w14:paraId="2837E222" w14:textId="3BE6A04D" w:rsidR="00FF0BBE" w:rsidRDefault="00FF0BBE" w:rsidP="00FC0760">
            <w:pPr>
              <w:pStyle w:val="TableParagraph"/>
              <w:rPr>
                <w:sz w:val="20"/>
                <w:szCs w:val="20"/>
              </w:rPr>
            </w:pPr>
            <w:r>
              <w:rPr>
                <w:sz w:val="20"/>
                <w:szCs w:val="20"/>
              </w:rPr>
              <w:t>1</w:t>
            </w:r>
            <w:r w:rsidR="001A7CE7">
              <w:rPr>
                <w:sz w:val="20"/>
                <w:szCs w:val="20"/>
              </w:rPr>
              <w:t>2</w:t>
            </w:r>
            <w:r>
              <w:rPr>
                <w:sz w:val="20"/>
                <w:szCs w:val="20"/>
              </w:rPr>
              <w:t>30 hrs – 1</w:t>
            </w:r>
            <w:r w:rsidR="001A7CE7">
              <w:rPr>
                <w:sz w:val="20"/>
                <w:szCs w:val="20"/>
              </w:rPr>
              <w:t>33</w:t>
            </w:r>
            <w:r>
              <w:rPr>
                <w:sz w:val="20"/>
                <w:szCs w:val="20"/>
              </w:rPr>
              <w:t>0 hrs</w:t>
            </w:r>
          </w:p>
          <w:p w14:paraId="0E76484E" w14:textId="6AC09434" w:rsidR="00FF0BBE" w:rsidRDefault="00FF0BBE" w:rsidP="00FC0760">
            <w:pPr>
              <w:pStyle w:val="TableParagraph"/>
              <w:rPr>
                <w:sz w:val="20"/>
                <w:szCs w:val="20"/>
              </w:rPr>
            </w:pPr>
          </w:p>
          <w:p w14:paraId="4C46823A" w14:textId="53B91C29" w:rsidR="00FF0BBE" w:rsidRDefault="00FF0BBE" w:rsidP="00FC0760">
            <w:pPr>
              <w:pStyle w:val="TableParagraph"/>
              <w:rPr>
                <w:sz w:val="20"/>
                <w:szCs w:val="20"/>
              </w:rPr>
            </w:pPr>
            <w:r>
              <w:rPr>
                <w:rFonts w:ascii="Palatino Linotype" w:hAnsi="Palatino Linotype"/>
                <w:i/>
                <w:iCs/>
                <w:sz w:val="24"/>
                <w:szCs w:val="24"/>
              </w:rPr>
              <w:t>Networking Lunch</w:t>
            </w:r>
          </w:p>
          <w:p w14:paraId="1B1E29C6" w14:textId="77777777" w:rsidR="00FF0BBE" w:rsidRDefault="00FF0BBE" w:rsidP="00FC0760">
            <w:pPr>
              <w:pStyle w:val="TableParagraph"/>
              <w:rPr>
                <w:sz w:val="20"/>
                <w:szCs w:val="20"/>
              </w:rPr>
            </w:pPr>
          </w:p>
          <w:p w14:paraId="33404A2D" w14:textId="629F7A28" w:rsidR="00947A4B" w:rsidRDefault="00947A4B" w:rsidP="00FC0760">
            <w:pPr>
              <w:pStyle w:val="TableParagraph"/>
              <w:rPr>
                <w:sz w:val="20"/>
                <w:szCs w:val="20"/>
              </w:rPr>
            </w:pPr>
          </w:p>
        </w:tc>
      </w:tr>
      <w:tr w:rsidR="00FF0BBE" w14:paraId="6D461E73" w14:textId="77777777" w:rsidTr="00FC0760">
        <w:tc>
          <w:tcPr>
            <w:tcW w:w="13210" w:type="dxa"/>
          </w:tcPr>
          <w:p w14:paraId="3CE2FAE7" w14:textId="4249BC56" w:rsidR="00FF0BBE" w:rsidRDefault="00FF0BBE" w:rsidP="00FC0760">
            <w:pPr>
              <w:pStyle w:val="TableParagraph"/>
              <w:rPr>
                <w:sz w:val="20"/>
                <w:szCs w:val="20"/>
              </w:rPr>
            </w:pPr>
            <w:r>
              <w:rPr>
                <w:sz w:val="20"/>
                <w:szCs w:val="20"/>
              </w:rPr>
              <w:t>1</w:t>
            </w:r>
            <w:r w:rsidR="001A7CE7">
              <w:rPr>
                <w:sz w:val="20"/>
                <w:szCs w:val="20"/>
              </w:rPr>
              <w:t>33</w:t>
            </w:r>
            <w:r>
              <w:rPr>
                <w:sz w:val="20"/>
                <w:szCs w:val="20"/>
              </w:rPr>
              <w:t>0 hrs – 1</w:t>
            </w:r>
            <w:r w:rsidR="001A7CE7">
              <w:rPr>
                <w:sz w:val="20"/>
                <w:szCs w:val="20"/>
              </w:rPr>
              <w:t>42</w:t>
            </w:r>
            <w:r>
              <w:rPr>
                <w:sz w:val="20"/>
                <w:szCs w:val="20"/>
              </w:rPr>
              <w:t>0 hrs: Panel Discussion</w:t>
            </w:r>
          </w:p>
          <w:p w14:paraId="6C703971" w14:textId="77777777" w:rsidR="00FF0BBE" w:rsidRDefault="00FF0BBE" w:rsidP="00FC0760">
            <w:pPr>
              <w:pStyle w:val="TableParagraph"/>
              <w:rPr>
                <w:sz w:val="20"/>
                <w:szCs w:val="20"/>
              </w:rPr>
            </w:pPr>
          </w:p>
          <w:p w14:paraId="68E4C2EA" w14:textId="3EC8C40D" w:rsidR="00FF0BBE" w:rsidRPr="00F335FA" w:rsidRDefault="00F335FA" w:rsidP="00FC0760">
            <w:pPr>
              <w:pStyle w:val="TableParagraph"/>
              <w:rPr>
                <w:rFonts w:ascii="Palatino Linotype" w:hAnsi="Palatino Linotype"/>
                <w:i/>
                <w:iCs/>
                <w:sz w:val="24"/>
                <w:szCs w:val="24"/>
              </w:rPr>
            </w:pPr>
            <w:r>
              <w:rPr>
                <w:rFonts w:ascii="Palatino Linotype" w:hAnsi="Palatino Linotype"/>
                <w:i/>
                <w:iCs/>
                <w:sz w:val="24"/>
                <w:szCs w:val="24"/>
              </w:rPr>
              <w:t>Surmounting barriers to entry in blockchain – Enabling mass adoption in corporate India</w:t>
            </w:r>
          </w:p>
          <w:p w14:paraId="1758314A" w14:textId="0593A2B5" w:rsidR="00FF0BBE" w:rsidRDefault="00FF0BBE" w:rsidP="00947A4B">
            <w:pPr>
              <w:pStyle w:val="TableParagraph"/>
              <w:jc w:val="both"/>
              <w:rPr>
                <w:sz w:val="20"/>
                <w:szCs w:val="20"/>
              </w:rPr>
            </w:pPr>
          </w:p>
          <w:p w14:paraId="0BD5B03B" w14:textId="429C86C5" w:rsidR="00CC770A" w:rsidRDefault="00CC770A" w:rsidP="00947A4B">
            <w:pPr>
              <w:pStyle w:val="TableParagraph"/>
              <w:jc w:val="both"/>
              <w:rPr>
                <w:sz w:val="20"/>
                <w:szCs w:val="20"/>
              </w:rPr>
            </w:pPr>
            <w:r>
              <w:rPr>
                <w:sz w:val="20"/>
                <w:szCs w:val="20"/>
              </w:rPr>
              <w:t>What are the major inhibitors to blockchain adoption &amp; how do we circumvent these inhibitors to optimi</w:t>
            </w:r>
            <w:r w:rsidR="00FC09F2">
              <w:rPr>
                <w:sz w:val="20"/>
                <w:szCs w:val="20"/>
              </w:rPr>
              <w:t>s</w:t>
            </w:r>
            <w:r>
              <w:rPr>
                <w:sz w:val="20"/>
                <w:szCs w:val="20"/>
              </w:rPr>
              <w:t>e returns on blockchain investment? This session looks at why blockchain tech is a good fit for corporate India; aside from fortifying marketing &amp; digital strategies, improving the freight carriage experience</w:t>
            </w:r>
            <w:r w:rsidR="003501A8">
              <w:rPr>
                <w:sz w:val="20"/>
                <w:szCs w:val="20"/>
              </w:rPr>
              <w:t>,</w:t>
            </w:r>
            <w:r>
              <w:rPr>
                <w:sz w:val="20"/>
                <w:szCs w:val="20"/>
              </w:rPr>
              <w:t xml:space="preserve"> allowing for seamless &amp; easily-accessibly record keeping, blockchain tech is </w:t>
            </w:r>
            <w:r w:rsidR="00FC09F2">
              <w:rPr>
                <w:sz w:val="20"/>
                <w:szCs w:val="20"/>
              </w:rPr>
              <w:t xml:space="preserve">the </w:t>
            </w:r>
            <w:r>
              <w:rPr>
                <w:sz w:val="20"/>
                <w:szCs w:val="20"/>
              </w:rPr>
              <w:t xml:space="preserve">ideal innovation for data cybersecurity. This session also examines </w:t>
            </w:r>
            <w:r w:rsidR="005B3FF0">
              <w:rPr>
                <w:sz w:val="20"/>
                <w:szCs w:val="20"/>
              </w:rPr>
              <w:t>the challenges to</w:t>
            </w:r>
            <w:r>
              <w:rPr>
                <w:sz w:val="20"/>
                <w:szCs w:val="20"/>
              </w:rPr>
              <w:t xml:space="preserve"> blockchain adoption</w:t>
            </w:r>
            <w:r w:rsidR="005B3FF0">
              <w:rPr>
                <w:sz w:val="20"/>
                <w:szCs w:val="20"/>
              </w:rPr>
              <w:t>, whether enterprise- or people-led,</w:t>
            </w:r>
            <w:r>
              <w:rPr>
                <w:sz w:val="20"/>
                <w:szCs w:val="20"/>
              </w:rPr>
              <w:t xml:space="preserve"> &amp; how </w:t>
            </w:r>
            <w:r w:rsidR="005B3FF0">
              <w:rPr>
                <w:sz w:val="20"/>
                <w:szCs w:val="20"/>
              </w:rPr>
              <w:t>to</w:t>
            </w:r>
            <w:r>
              <w:rPr>
                <w:sz w:val="20"/>
                <w:szCs w:val="20"/>
              </w:rPr>
              <w:t xml:space="preserve"> accelerate use-case implementation</w:t>
            </w:r>
          </w:p>
          <w:p w14:paraId="0E6FACD5" w14:textId="2B167376" w:rsidR="00FF0BBE" w:rsidRDefault="00FF0BBE" w:rsidP="00947A4B">
            <w:pPr>
              <w:pStyle w:val="TableParagraph"/>
              <w:jc w:val="both"/>
              <w:rPr>
                <w:sz w:val="20"/>
                <w:szCs w:val="20"/>
              </w:rPr>
            </w:pPr>
          </w:p>
        </w:tc>
      </w:tr>
      <w:tr w:rsidR="00F335FA" w14:paraId="1BFA37DB" w14:textId="77777777" w:rsidTr="00FC0760">
        <w:tc>
          <w:tcPr>
            <w:tcW w:w="13210" w:type="dxa"/>
          </w:tcPr>
          <w:p w14:paraId="7B090109" w14:textId="0B75BCA2" w:rsidR="00F335FA" w:rsidRDefault="00F335FA" w:rsidP="00FC0760">
            <w:pPr>
              <w:pStyle w:val="TableParagraph"/>
              <w:rPr>
                <w:sz w:val="20"/>
                <w:szCs w:val="20"/>
              </w:rPr>
            </w:pPr>
            <w:r>
              <w:rPr>
                <w:sz w:val="20"/>
                <w:szCs w:val="20"/>
              </w:rPr>
              <w:lastRenderedPageBreak/>
              <w:t>1</w:t>
            </w:r>
            <w:r w:rsidR="001A7CE7">
              <w:rPr>
                <w:sz w:val="20"/>
                <w:szCs w:val="20"/>
              </w:rPr>
              <w:t>42</w:t>
            </w:r>
            <w:r>
              <w:rPr>
                <w:sz w:val="20"/>
                <w:szCs w:val="20"/>
              </w:rPr>
              <w:t>0 hrs – 1</w:t>
            </w:r>
            <w:r w:rsidR="001A7CE7">
              <w:rPr>
                <w:sz w:val="20"/>
                <w:szCs w:val="20"/>
              </w:rPr>
              <w:t>51</w:t>
            </w:r>
            <w:r>
              <w:rPr>
                <w:sz w:val="20"/>
                <w:szCs w:val="20"/>
              </w:rPr>
              <w:t>0 hrs: Panel Discussion</w:t>
            </w:r>
          </w:p>
          <w:p w14:paraId="1068458D" w14:textId="77777777" w:rsidR="00F335FA" w:rsidRDefault="00F335FA" w:rsidP="00FC0760">
            <w:pPr>
              <w:pStyle w:val="TableParagraph"/>
              <w:rPr>
                <w:sz w:val="20"/>
                <w:szCs w:val="20"/>
              </w:rPr>
            </w:pPr>
          </w:p>
          <w:p w14:paraId="72762799" w14:textId="4044B8D4" w:rsidR="00F335FA" w:rsidRDefault="00E14F42" w:rsidP="00FC0760">
            <w:pPr>
              <w:pStyle w:val="TableParagraph"/>
              <w:rPr>
                <w:rFonts w:ascii="Palatino Linotype" w:hAnsi="Palatino Linotype"/>
                <w:i/>
                <w:iCs/>
                <w:sz w:val="24"/>
                <w:szCs w:val="24"/>
              </w:rPr>
            </w:pPr>
            <w:r>
              <w:rPr>
                <w:rFonts w:ascii="Palatino Linotype" w:hAnsi="Palatino Linotype"/>
                <w:i/>
                <w:iCs/>
                <w:sz w:val="24"/>
                <w:szCs w:val="24"/>
              </w:rPr>
              <w:t>Bolster</w:t>
            </w:r>
            <w:r w:rsidRPr="00E14F42">
              <w:rPr>
                <w:rFonts w:ascii="Palatino Linotype" w:hAnsi="Palatino Linotype"/>
                <w:i/>
                <w:iCs/>
                <w:sz w:val="24"/>
                <w:szCs w:val="24"/>
              </w:rPr>
              <w:t>ing the competitive advantage with the right blockchain solution</w:t>
            </w:r>
          </w:p>
          <w:p w14:paraId="035C8CC0" w14:textId="77777777" w:rsidR="00E14F42" w:rsidRPr="00E14F42" w:rsidRDefault="00E14F42" w:rsidP="00FB2153">
            <w:pPr>
              <w:pStyle w:val="TableParagraph"/>
              <w:jc w:val="both"/>
              <w:rPr>
                <w:sz w:val="20"/>
                <w:szCs w:val="20"/>
              </w:rPr>
            </w:pPr>
          </w:p>
          <w:p w14:paraId="3A719ADD" w14:textId="4141CCE8" w:rsidR="00F335FA" w:rsidRDefault="00646115" w:rsidP="00FB2153">
            <w:pPr>
              <w:pStyle w:val="TableParagraph"/>
              <w:jc w:val="both"/>
              <w:rPr>
                <w:sz w:val="20"/>
                <w:szCs w:val="20"/>
              </w:rPr>
            </w:pPr>
            <w:r>
              <w:rPr>
                <w:sz w:val="20"/>
                <w:szCs w:val="20"/>
              </w:rPr>
              <w:t>Understanding the scope of &amp; building trust in blockchain is a non-negotiable prerequisite to developing enterprise-level capabilities in BaaS (Blockchain as a Service). This session provides an overview of tried-and-tested use cases across industries and how these successful real-life adoptions have allowed enterprises to stay a step ahead of the curve</w:t>
            </w:r>
          </w:p>
          <w:p w14:paraId="60E71414" w14:textId="7A44BF73" w:rsidR="00646115" w:rsidRDefault="00646115" w:rsidP="00FB2153">
            <w:pPr>
              <w:pStyle w:val="TableParagraph"/>
              <w:jc w:val="both"/>
              <w:rPr>
                <w:sz w:val="20"/>
                <w:szCs w:val="20"/>
              </w:rPr>
            </w:pPr>
          </w:p>
        </w:tc>
      </w:tr>
      <w:tr w:rsidR="00E14F42" w14:paraId="01180116" w14:textId="77777777" w:rsidTr="00FC0760">
        <w:tc>
          <w:tcPr>
            <w:tcW w:w="13210" w:type="dxa"/>
          </w:tcPr>
          <w:p w14:paraId="6DCE217F" w14:textId="771BC362" w:rsidR="00E14F42" w:rsidRDefault="00100D73" w:rsidP="00FC0760">
            <w:pPr>
              <w:pStyle w:val="TableParagraph"/>
              <w:rPr>
                <w:sz w:val="20"/>
                <w:szCs w:val="20"/>
              </w:rPr>
            </w:pPr>
            <w:r>
              <w:rPr>
                <w:sz w:val="20"/>
                <w:szCs w:val="20"/>
              </w:rPr>
              <w:t>1</w:t>
            </w:r>
            <w:r w:rsidR="001A7CE7">
              <w:rPr>
                <w:sz w:val="20"/>
                <w:szCs w:val="20"/>
              </w:rPr>
              <w:t>51</w:t>
            </w:r>
            <w:r>
              <w:rPr>
                <w:sz w:val="20"/>
                <w:szCs w:val="20"/>
              </w:rPr>
              <w:t>0 hrs – 1</w:t>
            </w:r>
            <w:r w:rsidR="001A7CE7">
              <w:rPr>
                <w:sz w:val="20"/>
                <w:szCs w:val="20"/>
              </w:rPr>
              <w:t>60</w:t>
            </w:r>
            <w:r>
              <w:rPr>
                <w:sz w:val="20"/>
                <w:szCs w:val="20"/>
              </w:rPr>
              <w:t>0 hrs: Panel Discussion</w:t>
            </w:r>
          </w:p>
          <w:p w14:paraId="1E87221C" w14:textId="77777777" w:rsidR="00100D73" w:rsidRDefault="00100D73" w:rsidP="00FC0760">
            <w:pPr>
              <w:pStyle w:val="TableParagraph"/>
              <w:rPr>
                <w:sz w:val="20"/>
                <w:szCs w:val="20"/>
              </w:rPr>
            </w:pPr>
          </w:p>
          <w:p w14:paraId="3A2D576C" w14:textId="11ACBFD4" w:rsidR="00100D73" w:rsidRPr="00100D73" w:rsidRDefault="00100D73" w:rsidP="00FC0760">
            <w:pPr>
              <w:pStyle w:val="TableParagraph"/>
              <w:rPr>
                <w:rFonts w:ascii="Palatino Linotype" w:hAnsi="Palatino Linotype"/>
                <w:i/>
                <w:iCs/>
                <w:sz w:val="24"/>
                <w:szCs w:val="24"/>
              </w:rPr>
            </w:pPr>
            <w:r>
              <w:rPr>
                <w:rFonts w:ascii="Palatino Linotype" w:hAnsi="Palatino Linotype"/>
                <w:i/>
                <w:iCs/>
                <w:sz w:val="24"/>
                <w:szCs w:val="24"/>
              </w:rPr>
              <w:t>Addressing onboarding skepticism in Web 3.0 integration – Luxury brands vis-à-vis the mass market</w:t>
            </w:r>
          </w:p>
          <w:p w14:paraId="50CC80D8" w14:textId="77777777" w:rsidR="00100D73" w:rsidRDefault="00100D73" w:rsidP="00FB2153">
            <w:pPr>
              <w:pStyle w:val="TableParagraph"/>
              <w:jc w:val="both"/>
              <w:rPr>
                <w:sz w:val="20"/>
                <w:szCs w:val="20"/>
              </w:rPr>
            </w:pPr>
          </w:p>
          <w:p w14:paraId="0148E33B" w14:textId="3085E59C" w:rsidR="00100D73" w:rsidRDefault="00B04318" w:rsidP="00FB2153">
            <w:pPr>
              <w:pStyle w:val="TableParagraph"/>
              <w:jc w:val="both"/>
              <w:rPr>
                <w:sz w:val="20"/>
                <w:szCs w:val="20"/>
              </w:rPr>
            </w:pPr>
            <w:r>
              <w:rPr>
                <w:sz w:val="20"/>
                <w:szCs w:val="20"/>
              </w:rPr>
              <w:t>Be it enterprise NFTs, metaversal brand experimentation or digital twin technology, the world is corporate India’s metaphorical oyster, insomuch as Indian enterprises become risk-inclined &amp; innovation-led. Join us as leading brands &amp; adopters discuss the importance of web 3.0 integration in brand design &amp; strategy, customer acquisition &amp; retention, and digitally-led ingenuity</w:t>
            </w:r>
          </w:p>
          <w:p w14:paraId="110B7F1C" w14:textId="332082DB" w:rsidR="00B04318" w:rsidRDefault="00B04318" w:rsidP="00FB2153">
            <w:pPr>
              <w:pStyle w:val="TableParagraph"/>
              <w:jc w:val="both"/>
              <w:rPr>
                <w:sz w:val="20"/>
                <w:szCs w:val="20"/>
              </w:rPr>
            </w:pPr>
          </w:p>
        </w:tc>
      </w:tr>
      <w:tr w:rsidR="00100D73" w14:paraId="774B2D64" w14:textId="77777777" w:rsidTr="00FC0760">
        <w:tc>
          <w:tcPr>
            <w:tcW w:w="13210" w:type="dxa"/>
          </w:tcPr>
          <w:p w14:paraId="2C1C8616" w14:textId="750DE0DC" w:rsidR="00100D73" w:rsidRDefault="00100D73" w:rsidP="00FC0760">
            <w:pPr>
              <w:pStyle w:val="TableParagraph"/>
              <w:rPr>
                <w:sz w:val="20"/>
                <w:szCs w:val="20"/>
              </w:rPr>
            </w:pPr>
            <w:r>
              <w:rPr>
                <w:sz w:val="20"/>
                <w:szCs w:val="20"/>
              </w:rPr>
              <w:t>1</w:t>
            </w:r>
            <w:r w:rsidR="001A7CE7">
              <w:rPr>
                <w:sz w:val="20"/>
                <w:szCs w:val="20"/>
              </w:rPr>
              <w:t>6</w:t>
            </w:r>
            <w:r>
              <w:rPr>
                <w:sz w:val="20"/>
                <w:szCs w:val="20"/>
              </w:rPr>
              <w:t>00 hrs – 1</w:t>
            </w:r>
            <w:r w:rsidR="001A7CE7">
              <w:rPr>
                <w:sz w:val="20"/>
                <w:szCs w:val="20"/>
              </w:rPr>
              <w:t>65</w:t>
            </w:r>
            <w:r>
              <w:rPr>
                <w:sz w:val="20"/>
                <w:szCs w:val="20"/>
              </w:rPr>
              <w:t>0 hrs: Panel Discussion</w:t>
            </w:r>
          </w:p>
          <w:p w14:paraId="283C93AF" w14:textId="77777777" w:rsidR="00100D73" w:rsidRDefault="00100D73" w:rsidP="00FC0760">
            <w:pPr>
              <w:pStyle w:val="TableParagraph"/>
              <w:rPr>
                <w:sz w:val="20"/>
                <w:szCs w:val="20"/>
              </w:rPr>
            </w:pPr>
          </w:p>
          <w:p w14:paraId="571725F6" w14:textId="77777777" w:rsidR="00100D73" w:rsidRDefault="00DC741A" w:rsidP="00FC0760">
            <w:pPr>
              <w:pStyle w:val="TableParagraph"/>
              <w:rPr>
                <w:rFonts w:ascii="Palatino Linotype" w:hAnsi="Palatino Linotype"/>
                <w:i/>
                <w:iCs/>
                <w:sz w:val="24"/>
                <w:szCs w:val="24"/>
              </w:rPr>
            </w:pPr>
            <w:r w:rsidRPr="00612EC7">
              <w:rPr>
                <w:rFonts w:ascii="Palatino Linotype" w:hAnsi="Palatino Linotype"/>
                <w:i/>
                <w:iCs/>
                <w:sz w:val="24"/>
                <w:szCs w:val="24"/>
              </w:rPr>
              <w:t>At the confluence of Generative AI &amp; Web 3.0 – Cashing in on real opportunities</w:t>
            </w:r>
          </w:p>
          <w:p w14:paraId="74013A6D" w14:textId="77777777" w:rsidR="00DC741A" w:rsidRPr="00DC741A" w:rsidRDefault="00DC741A" w:rsidP="00FB2153">
            <w:pPr>
              <w:pStyle w:val="TableParagraph"/>
              <w:jc w:val="both"/>
              <w:rPr>
                <w:sz w:val="20"/>
                <w:szCs w:val="20"/>
              </w:rPr>
            </w:pPr>
          </w:p>
          <w:p w14:paraId="539C13D2" w14:textId="5BB0D20F" w:rsidR="00C65F63" w:rsidRDefault="00FB2153" w:rsidP="00FB2153">
            <w:pPr>
              <w:pStyle w:val="TableParagraph"/>
              <w:jc w:val="both"/>
              <w:rPr>
                <w:sz w:val="20"/>
                <w:szCs w:val="20"/>
              </w:rPr>
            </w:pPr>
            <w:r>
              <w:rPr>
                <w:sz w:val="20"/>
                <w:szCs w:val="20"/>
              </w:rPr>
              <w:t>Generative AI, with its verisimilar capabilities in mimic</w:t>
            </w:r>
            <w:r w:rsidR="00135A0C">
              <w:rPr>
                <w:sz w:val="20"/>
                <w:szCs w:val="20"/>
              </w:rPr>
              <w:t>k</w:t>
            </w:r>
            <w:r>
              <w:rPr>
                <w:sz w:val="20"/>
                <w:szCs w:val="20"/>
              </w:rPr>
              <w:t>ing human thought, perception, &amp; analysis, has caught the attention of the global Web 3.0 fraternity. This session looks beyond the hyperbole around Gen AI’s applications, examining the real-world opportunities &amp; technologically-achievable ideas</w:t>
            </w:r>
            <w:r w:rsidR="00C65F63">
              <w:rPr>
                <w:sz w:val="20"/>
                <w:szCs w:val="20"/>
              </w:rPr>
              <w:t xml:space="preserve"> that are limited only by developers’ imaginations</w:t>
            </w:r>
          </w:p>
          <w:p w14:paraId="01C17FA9" w14:textId="5FC75A36" w:rsidR="00FB2153" w:rsidRDefault="00FB2153" w:rsidP="00FB2153">
            <w:pPr>
              <w:pStyle w:val="TableParagraph"/>
              <w:jc w:val="both"/>
              <w:rPr>
                <w:sz w:val="20"/>
                <w:szCs w:val="20"/>
              </w:rPr>
            </w:pPr>
          </w:p>
        </w:tc>
      </w:tr>
      <w:tr w:rsidR="007A75F6" w14:paraId="2D50F247" w14:textId="77777777" w:rsidTr="00FC0760">
        <w:tc>
          <w:tcPr>
            <w:tcW w:w="13210" w:type="dxa"/>
          </w:tcPr>
          <w:p w14:paraId="7F371C56" w14:textId="77777777" w:rsidR="007A75F6" w:rsidRDefault="007A75F6" w:rsidP="00FC0760">
            <w:pPr>
              <w:pStyle w:val="TableParagraph"/>
              <w:rPr>
                <w:sz w:val="20"/>
                <w:szCs w:val="20"/>
              </w:rPr>
            </w:pPr>
            <w:r>
              <w:rPr>
                <w:sz w:val="20"/>
                <w:szCs w:val="20"/>
              </w:rPr>
              <w:t>1650 – 1740 hrs: Panel Discussion</w:t>
            </w:r>
          </w:p>
          <w:p w14:paraId="41B813B2" w14:textId="77777777" w:rsidR="007A75F6" w:rsidRDefault="007A75F6" w:rsidP="00FC0760">
            <w:pPr>
              <w:pStyle w:val="TableParagraph"/>
              <w:rPr>
                <w:sz w:val="20"/>
                <w:szCs w:val="20"/>
              </w:rPr>
            </w:pPr>
          </w:p>
          <w:p w14:paraId="7E7E10F8" w14:textId="77777777" w:rsidR="00DC741A" w:rsidRDefault="00DC741A" w:rsidP="00DC741A">
            <w:pPr>
              <w:jc w:val="center"/>
              <w:rPr>
                <w:rFonts w:ascii="Palatino Linotype" w:hAnsi="Palatino Linotype"/>
                <w:i/>
                <w:iCs/>
                <w:sz w:val="24"/>
                <w:szCs w:val="24"/>
              </w:rPr>
            </w:pPr>
            <w:r w:rsidRPr="003B2421">
              <w:rPr>
                <w:rFonts w:ascii="Palatino Linotype" w:hAnsi="Palatino Linotype"/>
                <w:i/>
                <w:iCs/>
                <w:sz w:val="24"/>
                <w:szCs w:val="24"/>
              </w:rPr>
              <w:t>Regulating the digital assets economy – Progress so far &amp; the way ahead</w:t>
            </w:r>
          </w:p>
          <w:p w14:paraId="06C0F5DC" w14:textId="77777777" w:rsidR="00612EC7" w:rsidRDefault="00612EC7" w:rsidP="00FC0760">
            <w:pPr>
              <w:pStyle w:val="TableParagraph"/>
              <w:rPr>
                <w:sz w:val="20"/>
                <w:szCs w:val="20"/>
              </w:rPr>
            </w:pPr>
          </w:p>
          <w:p w14:paraId="588952C1" w14:textId="1029495B" w:rsidR="00612EC7" w:rsidRDefault="00383C62" w:rsidP="00DC741A">
            <w:pPr>
              <w:pStyle w:val="TableParagraph"/>
              <w:jc w:val="both"/>
              <w:rPr>
                <w:sz w:val="20"/>
                <w:szCs w:val="20"/>
              </w:rPr>
            </w:pPr>
            <w:r>
              <w:rPr>
                <w:sz w:val="20"/>
                <w:szCs w:val="20"/>
              </w:rPr>
              <w:t>C</w:t>
            </w:r>
            <w:r w:rsidR="00DC741A">
              <w:rPr>
                <w:sz w:val="20"/>
                <w:szCs w:val="20"/>
              </w:rPr>
              <w:t>rypto currenc</w:t>
            </w:r>
            <w:r>
              <w:rPr>
                <w:sz w:val="20"/>
                <w:szCs w:val="20"/>
              </w:rPr>
              <w:t xml:space="preserve">ies, currently the cynosure of all eyes, are viewed with a mix of heady anticipation &amp; suspicion to the uninitiated. This session </w:t>
            </w:r>
            <w:r w:rsidR="00936A64">
              <w:rPr>
                <w:sz w:val="20"/>
                <w:szCs w:val="20"/>
              </w:rPr>
              <w:t xml:space="preserve">examines new discourses on crypto custody, its credentials as a reputable asset, &amp; the progress made so for by regulatory bodies. Furthermore, it looks at the future potentials, specifically, how better regulation would enhance the capabilities of digital asset companies, not to mention the impact of fiscal policy </w:t>
            </w:r>
            <w:r w:rsidR="0012335E">
              <w:rPr>
                <w:sz w:val="20"/>
                <w:szCs w:val="20"/>
              </w:rPr>
              <w:t>on</w:t>
            </w:r>
            <w:r w:rsidR="00936A64">
              <w:rPr>
                <w:sz w:val="20"/>
                <w:szCs w:val="20"/>
              </w:rPr>
              <w:t xml:space="preserve"> a growing crypto economy – pros &amp; cons of taxing crypto assets</w:t>
            </w:r>
          </w:p>
          <w:p w14:paraId="45AA321A" w14:textId="3A793F97" w:rsidR="00DC741A" w:rsidRDefault="00DC741A" w:rsidP="00FC0760">
            <w:pPr>
              <w:pStyle w:val="TableParagraph"/>
              <w:rPr>
                <w:sz w:val="20"/>
                <w:szCs w:val="20"/>
              </w:rPr>
            </w:pPr>
          </w:p>
        </w:tc>
      </w:tr>
    </w:tbl>
    <w:p w14:paraId="37002E05" w14:textId="77777777" w:rsidR="00FC0760" w:rsidRDefault="00FC0760" w:rsidP="00124375">
      <w:pPr>
        <w:pStyle w:val="TableParagraph"/>
        <w:jc w:val="left"/>
      </w:pPr>
    </w:p>
    <w:sectPr w:rsidR="00FC0760" w:rsidSect="00BF666C">
      <w:pgSz w:w="15840" w:h="12240" w:orient="landscape"/>
      <w:pgMar w:top="114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D4D"/>
    <w:multiLevelType w:val="hybridMultilevel"/>
    <w:tmpl w:val="EFBCC1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C00E21"/>
    <w:multiLevelType w:val="hybridMultilevel"/>
    <w:tmpl w:val="B9660F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B8284C"/>
    <w:multiLevelType w:val="hybridMultilevel"/>
    <w:tmpl w:val="2B0CC8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EB82C3C"/>
    <w:multiLevelType w:val="hybridMultilevel"/>
    <w:tmpl w:val="909630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E6453A8"/>
    <w:multiLevelType w:val="hybridMultilevel"/>
    <w:tmpl w:val="2AE4D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32C2D85"/>
    <w:multiLevelType w:val="hybridMultilevel"/>
    <w:tmpl w:val="E7AC35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67236E4"/>
    <w:multiLevelType w:val="hybridMultilevel"/>
    <w:tmpl w:val="010EE9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AEA6A9A"/>
    <w:multiLevelType w:val="hybridMultilevel"/>
    <w:tmpl w:val="BE36B0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22970522">
    <w:abstractNumId w:val="0"/>
  </w:num>
  <w:num w:numId="2" w16cid:durableId="310600954">
    <w:abstractNumId w:val="2"/>
  </w:num>
  <w:num w:numId="3" w16cid:durableId="1880698073">
    <w:abstractNumId w:val="5"/>
  </w:num>
  <w:num w:numId="4" w16cid:durableId="193927731">
    <w:abstractNumId w:val="6"/>
  </w:num>
  <w:num w:numId="5" w16cid:durableId="1201626772">
    <w:abstractNumId w:val="1"/>
  </w:num>
  <w:num w:numId="6" w16cid:durableId="1276790859">
    <w:abstractNumId w:val="3"/>
  </w:num>
  <w:num w:numId="7" w16cid:durableId="6635939">
    <w:abstractNumId w:val="4"/>
  </w:num>
  <w:num w:numId="8" w16cid:durableId="21366812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21"/>
    <w:rsid w:val="0000074C"/>
    <w:rsid w:val="00000CAE"/>
    <w:rsid w:val="000017C8"/>
    <w:rsid w:val="00003B16"/>
    <w:rsid w:val="00005FAE"/>
    <w:rsid w:val="00012D8B"/>
    <w:rsid w:val="000237DB"/>
    <w:rsid w:val="00034679"/>
    <w:rsid w:val="00035564"/>
    <w:rsid w:val="000358C1"/>
    <w:rsid w:val="00036191"/>
    <w:rsid w:val="00037CD7"/>
    <w:rsid w:val="000468DC"/>
    <w:rsid w:val="00052364"/>
    <w:rsid w:val="00054003"/>
    <w:rsid w:val="00055746"/>
    <w:rsid w:val="000670C0"/>
    <w:rsid w:val="00082B5E"/>
    <w:rsid w:val="00083B2E"/>
    <w:rsid w:val="00092325"/>
    <w:rsid w:val="000968C6"/>
    <w:rsid w:val="00096A1A"/>
    <w:rsid w:val="0009753A"/>
    <w:rsid w:val="000A2F04"/>
    <w:rsid w:val="000A7A01"/>
    <w:rsid w:val="000C67B6"/>
    <w:rsid w:val="000C7C07"/>
    <w:rsid w:val="000D2222"/>
    <w:rsid w:val="000E5861"/>
    <w:rsid w:val="000E59BD"/>
    <w:rsid w:val="000F2875"/>
    <w:rsid w:val="000F32B5"/>
    <w:rsid w:val="00100D73"/>
    <w:rsid w:val="001023F6"/>
    <w:rsid w:val="00110722"/>
    <w:rsid w:val="0011356A"/>
    <w:rsid w:val="00122256"/>
    <w:rsid w:val="00122F70"/>
    <w:rsid w:val="0012335E"/>
    <w:rsid w:val="00124375"/>
    <w:rsid w:val="00127223"/>
    <w:rsid w:val="00135A0C"/>
    <w:rsid w:val="001430E5"/>
    <w:rsid w:val="00152542"/>
    <w:rsid w:val="00152960"/>
    <w:rsid w:val="001555F0"/>
    <w:rsid w:val="00155E73"/>
    <w:rsid w:val="00165F55"/>
    <w:rsid w:val="00172478"/>
    <w:rsid w:val="001842CC"/>
    <w:rsid w:val="00184839"/>
    <w:rsid w:val="00184C40"/>
    <w:rsid w:val="00197755"/>
    <w:rsid w:val="001A7CE7"/>
    <w:rsid w:val="001B092A"/>
    <w:rsid w:val="001D23D3"/>
    <w:rsid w:val="001D62AA"/>
    <w:rsid w:val="001D6E72"/>
    <w:rsid w:val="001D769E"/>
    <w:rsid w:val="001D7FFB"/>
    <w:rsid w:val="001E2B31"/>
    <w:rsid w:val="001E3231"/>
    <w:rsid w:val="001F79C5"/>
    <w:rsid w:val="00201AF8"/>
    <w:rsid w:val="00202239"/>
    <w:rsid w:val="002068A9"/>
    <w:rsid w:val="00215829"/>
    <w:rsid w:val="002165CB"/>
    <w:rsid w:val="0022093D"/>
    <w:rsid w:val="00221141"/>
    <w:rsid w:val="0022550E"/>
    <w:rsid w:val="00225DAD"/>
    <w:rsid w:val="00226D88"/>
    <w:rsid w:val="00234F7A"/>
    <w:rsid w:val="0024050A"/>
    <w:rsid w:val="00243CFA"/>
    <w:rsid w:val="0024473D"/>
    <w:rsid w:val="00245AC6"/>
    <w:rsid w:val="00245E42"/>
    <w:rsid w:val="00246A33"/>
    <w:rsid w:val="002511ED"/>
    <w:rsid w:val="002527E2"/>
    <w:rsid w:val="00255D81"/>
    <w:rsid w:val="002564B6"/>
    <w:rsid w:val="00264206"/>
    <w:rsid w:val="002677D3"/>
    <w:rsid w:val="002741FD"/>
    <w:rsid w:val="0027459C"/>
    <w:rsid w:val="00281044"/>
    <w:rsid w:val="002841DE"/>
    <w:rsid w:val="00290B7E"/>
    <w:rsid w:val="0029198C"/>
    <w:rsid w:val="00296EED"/>
    <w:rsid w:val="002A247E"/>
    <w:rsid w:val="002A352D"/>
    <w:rsid w:val="002A5BFD"/>
    <w:rsid w:val="002B5211"/>
    <w:rsid w:val="002B564C"/>
    <w:rsid w:val="002C171F"/>
    <w:rsid w:val="002C267A"/>
    <w:rsid w:val="002D02FB"/>
    <w:rsid w:val="002D07EE"/>
    <w:rsid w:val="002D2F18"/>
    <w:rsid w:val="002D3450"/>
    <w:rsid w:val="002D5D87"/>
    <w:rsid w:val="002E0013"/>
    <w:rsid w:val="002E47BD"/>
    <w:rsid w:val="0030307A"/>
    <w:rsid w:val="0030593B"/>
    <w:rsid w:val="00317843"/>
    <w:rsid w:val="00321DDA"/>
    <w:rsid w:val="00341022"/>
    <w:rsid w:val="0034174D"/>
    <w:rsid w:val="003419E2"/>
    <w:rsid w:val="003441FC"/>
    <w:rsid w:val="003501A8"/>
    <w:rsid w:val="003638D1"/>
    <w:rsid w:val="00367CB0"/>
    <w:rsid w:val="0037321C"/>
    <w:rsid w:val="00380607"/>
    <w:rsid w:val="00380E29"/>
    <w:rsid w:val="00383C62"/>
    <w:rsid w:val="0039194E"/>
    <w:rsid w:val="003A291E"/>
    <w:rsid w:val="003B2421"/>
    <w:rsid w:val="003C0389"/>
    <w:rsid w:val="003C6A15"/>
    <w:rsid w:val="003D066F"/>
    <w:rsid w:val="003D090C"/>
    <w:rsid w:val="003D11CA"/>
    <w:rsid w:val="003E174D"/>
    <w:rsid w:val="003E1EA7"/>
    <w:rsid w:val="003F6DA0"/>
    <w:rsid w:val="00401FD2"/>
    <w:rsid w:val="00403E34"/>
    <w:rsid w:val="00412BB8"/>
    <w:rsid w:val="00420843"/>
    <w:rsid w:val="00421727"/>
    <w:rsid w:val="00422BEC"/>
    <w:rsid w:val="00424443"/>
    <w:rsid w:val="004245BD"/>
    <w:rsid w:val="004368F8"/>
    <w:rsid w:val="0044117A"/>
    <w:rsid w:val="00442C1A"/>
    <w:rsid w:val="004452F5"/>
    <w:rsid w:val="00446A78"/>
    <w:rsid w:val="004543A8"/>
    <w:rsid w:val="00474CDB"/>
    <w:rsid w:val="004851DE"/>
    <w:rsid w:val="0048621A"/>
    <w:rsid w:val="00496822"/>
    <w:rsid w:val="004A7DE1"/>
    <w:rsid w:val="004B239F"/>
    <w:rsid w:val="004B29EB"/>
    <w:rsid w:val="004B5C32"/>
    <w:rsid w:val="004D206A"/>
    <w:rsid w:val="004D4310"/>
    <w:rsid w:val="004D600C"/>
    <w:rsid w:val="004E3B87"/>
    <w:rsid w:val="004F3D74"/>
    <w:rsid w:val="00500581"/>
    <w:rsid w:val="0050094B"/>
    <w:rsid w:val="005018DE"/>
    <w:rsid w:val="005073B4"/>
    <w:rsid w:val="00512A1A"/>
    <w:rsid w:val="00515EB3"/>
    <w:rsid w:val="00526DCF"/>
    <w:rsid w:val="00530BC5"/>
    <w:rsid w:val="00531FE2"/>
    <w:rsid w:val="005339BF"/>
    <w:rsid w:val="00536149"/>
    <w:rsid w:val="005409C0"/>
    <w:rsid w:val="00542460"/>
    <w:rsid w:val="005435F1"/>
    <w:rsid w:val="00550C01"/>
    <w:rsid w:val="00554BCF"/>
    <w:rsid w:val="00560906"/>
    <w:rsid w:val="00565242"/>
    <w:rsid w:val="0057555A"/>
    <w:rsid w:val="00577BB2"/>
    <w:rsid w:val="00583543"/>
    <w:rsid w:val="00583C98"/>
    <w:rsid w:val="00583E82"/>
    <w:rsid w:val="0059120E"/>
    <w:rsid w:val="005937CF"/>
    <w:rsid w:val="005A0F4A"/>
    <w:rsid w:val="005A0FB4"/>
    <w:rsid w:val="005B2DC3"/>
    <w:rsid w:val="005B3FF0"/>
    <w:rsid w:val="005B5869"/>
    <w:rsid w:val="005B7FD7"/>
    <w:rsid w:val="005C1BA5"/>
    <w:rsid w:val="005C6B32"/>
    <w:rsid w:val="005D0B4A"/>
    <w:rsid w:val="005D3910"/>
    <w:rsid w:val="005F772A"/>
    <w:rsid w:val="005F797D"/>
    <w:rsid w:val="00600EBE"/>
    <w:rsid w:val="00601DED"/>
    <w:rsid w:val="00602CCF"/>
    <w:rsid w:val="006111D7"/>
    <w:rsid w:val="00612EC7"/>
    <w:rsid w:val="00620163"/>
    <w:rsid w:val="00623564"/>
    <w:rsid w:val="0062419C"/>
    <w:rsid w:val="00626582"/>
    <w:rsid w:val="00627ADD"/>
    <w:rsid w:val="00640732"/>
    <w:rsid w:val="00646115"/>
    <w:rsid w:val="00646F9D"/>
    <w:rsid w:val="00650ED8"/>
    <w:rsid w:val="00665FBE"/>
    <w:rsid w:val="00666BD0"/>
    <w:rsid w:val="0067070D"/>
    <w:rsid w:val="0068115F"/>
    <w:rsid w:val="00687C64"/>
    <w:rsid w:val="00690B16"/>
    <w:rsid w:val="00693B50"/>
    <w:rsid w:val="006951FE"/>
    <w:rsid w:val="006A3D00"/>
    <w:rsid w:val="006A5FCA"/>
    <w:rsid w:val="006B1995"/>
    <w:rsid w:val="006B69FC"/>
    <w:rsid w:val="006C118D"/>
    <w:rsid w:val="006C38D3"/>
    <w:rsid w:val="006D1BBC"/>
    <w:rsid w:val="006D1FFA"/>
    <w:rsid w:val="006D4A4E"/>
    <w:rsid w:val="006D5A96"/>
    <w:rsid w:val="006E19B0"/>
    <w:rsid w:val="006E362C"/>
    <w:rsid w:val="006F47C4"/>
    <w:rsid w:val="007025D2"/>
    <w:rsid w:val="00706331"/>
    <w:rsid w:val="0071217B"/>
    <w:rsid w:val="007210EE"/>
    <w:rsid w:val="0072254A"/>
    <w:rsid w:val="007270EC"/>
    <w:rsid w:val="007326C3"/>
    <w:rsid w:val="007327EB"/>
    <w:rsid w:val="00734D6B"/>
    <w:rsid w:val="00743918"/>
    <w:rsid w:val="00753478"/>
    <w:rsid w:val="00755478"/>
    <w:rsid w:val="00761136"/>
    <w:rsid w:val="007761A0"/>
    <w:rsid w:val="00777176"/>
    <w:rsid w:val="00780172"/>
    <w:rsid w:val="00783229"/>
    <w:rsid w:val="007833B0"/>
    <w:rsid w:val="00783ACC"/>
    <w:rsid w:val="007902AF"/>
    <w:rsid w:val="00793188"/>
    <w:rsid w:val="00793A67"/>
    <w:rsid w:val="00793B87"/>
    <w:rsid w:val="007A0A90"/>
    <w:rsid w:val="007A75F6"/>
    <w:rsid w:val="007B2B44"/>
    <w:rsid w:val="007B3900"/>
    <w:rsid w:val="007B39D7"/>
    <w:rsid w:val="007B5157"/>
    <w:rsid w:val="007B72B9"/>
    <w:rsid w:val="007C037B"/>
    <w:rsid w:val="007C4B8B"/>
    <w:rsid w:val="007E1D43"/>
    <w:rsid w:val="007E2FF4"/>
    <w:rsid w:val="007E4A96"/>
    <w:rsid w:val="007E586E"/>
    <w:rsid w:val="007F3160"/>
    <w:rsid w:val="00800393"/>
    <w:rsid w:val="008035CB"/>
    <w:rsid w:val="00813A22"/>
    <w:rsid w:val="00814073"/>
    <w:rsid w:val="00815527"/>
    <w:rsid w:val="00820A30"/>
    <w:rsid w:val="00822DCB"/>
    <w:rsid w:val="008242D6"/>
    <w:rsid w:val="00824772"/>
    <w:rsid w:val="00837050"/>
    <w:rsid w:val="008472FB"/>
    <w:rsid w:val="00852479"/>
    <w:rsid w:val="0085554B"/>
    <w:rsid w:val="00864487"/>
    <w:rsid w:val="00865364"/>
    <w:rsid w:val="00867DF2"/>
    <w:rsid w:val="00883488"/>
    <w:rsid w:val="008859EC"/>
    <w:rsid w:val="00887BF4"/>
    <w:rsid w:val="00892A49"/>
    <w:rsid w:val="00894DB8"/>
    <w:rsid w:val="0089589D"/>
    <w:rsid w:val="00897693"/>
    <w:rsid w:val="008C1B37"/>
    <w:rsid w:val="008D34E5"/>
    <w:rsid w:val="008D3DFB"/>
    <w:rsid w:val="008D7CEC"/>
    <w:rsid w:val="008E4391"/>
    <w:rsid w:val="008E46C0"/>
    <w:rsid w:val="008E672E"/>
    <w:rsid w:val="008F05C8"/>
    <w:rsid w:val="008F2407"/>
    <w:rsid w:val="00916BDB"/>
    <w:rsid w:val="009170ED"/>
    <w:rsid w:val="00925CBD"/>
    <w:rsid w:val="00936A64"/>
    <w:rsid w:val="00947A4B"/>
    <w:rsid w:val="00951652"/>
    <w:rsid w:val="00954F5C"/>
    <w:rsid w:val="0095569A"/>
    <w:rsid w:val="00960488"/>
    <w:rsid w:val="009611AF"/>
    <w:rsid w:val="009622A7"/>
    <w:rsid w:val="00964976"/>
    <w:rsid w:val="009652C3"/>
    <w:rsid w:val="00966BF1"/>
    <w:rsid w:val="00970151"/>
    <w:rsid w:val="00983ED1"/>
    <w:rsid w:val="009938BA"/>
    <w:rsid w:val="00995928"/>
    <w:rsid w:val="009A4AC4"/>
    <w:rsid w:val="009C1FAA"/>
    <w:rsid w:val="009C2A41"/>
    <w:rsid w:val="009C2ED3"/>
    <w:rsid w:val="009C5C6F"/>
    <w:rsid w:val="009D58A8"/>
    <w:rsid w:val="009E1A00"/>
    <w:rsid w:val="009E30E0"/>
    <w:rsid w:val="009F075F"/>
    <w:rsid w:val="009F2D78"/>
    <w:rsid w:val="009F53D3"/>
    <w:rsid w:val="00A00EE6"/>
    <w:rsid w:val="00A07091"/>
    <w:rsid w:val="00A13BF8"/>
    <w:rsid w:val="00A15A0A"/>
    <w:rsid w:val="00A16BDD"/>
    <w:rsid w:val="00A304F7"/>
    <w:rsid w:val="00A32B81"/>
    <w:rsid w:val="00A3356F"/>
    <w:rsid w:val="00A51625"/>
    <w:rsid w:val="00A6271D"/>
    <w:rsid w:val="00A7099F"/>
    <w:rsid w:val="00A70FE8"/>
    <w:rsid w:val="00A77AF8"/>
    <w:rsid w:val="00A84120"/>
    <w:rsid w:val="00A867AD"/>
    <w:rsid w:val="00A96DEB"/>
    <w:rsid w:val="00AA0D6C"/>
    <w:rsid w:val="00AA30C6"/>
    <w:rsid w:val="00AE1C4C"/>
    <w:rsid w:val="00AE61ED"/>
    <w:rsid w:val="00AF2B28"/>
    <w:rsid w:val="00AF3202"/>
    <w:rsid w:val="00AF7583"/>
    <w:rsid w:val="00AF7BD6"/>
    <w:rsid w:val="00B04318"/>
    <w:rsid w:val="00B11325"/>
    <w:rsid w:val="00B1171E"/>
    <w:rsid w:val="00B15F2B"/>
    <w:rsid w:val="00B166DD"/>
    <w:rsid w:val="00B1714D"/>
    <w:rsid w:val="00B174C2"/>
    <w:rsid w:val="00B21178"/>
    <w:rsid w:val="00B24B4F"/>
    <w:rsid w:val="00B25AFD"/>
    <w:rsid w:val="00B42553"/>
    <w:rsid w:val="00B5203D"/>
    <w:rsid w:val="00B55892"/>
    <w:rsid w:val="00B5778E"/>
    <w:rsid w:val="00B57831"/>
    <w:rsid w:val="00B657F0"/>
    <w:rsid w:val="00B73882"/>
    <w:rsid w:val="00B77F04"/>
    <w:rsid w:val="00B84735"/>
    <w:rsid w:val="00B9193F"/>
    <w:rsid w:val="00B93D61"/>
    <w:rsid w:val="00BB4067"/>
    <w:rsid w:val="00BC2452"/>
    <w:rsid w:val="00BC34F6"/>
    <w:rsid w:val="00BC3F0B"/>
    <w:rsid w:val="00BD3D03"/>
    <w:rsid w:val="00BD43B5"/>
    <w:rsid w:val="00BD4427"/>
    <w:rsid w:val="00BD45AF"/>
    <w:rsid w:val="00BD60BF"/>
    <w:rsid w:val="00BE5185"/>
    <w:rsid w:val="00BE655E"/>
    <w:rsid w:val="00BF0086"/>
    <w:rsid w:val="00BF413E"/>
    <w:rsid w:val="00BF4EBA"/>
    <w:rsid w:val="00BF6024"/>
    <w:rsid w:val="00BF666C"/>
    <w:rsid w:val="00BF6AC1"/>
    <w:rsid w:val="00C05B17"/>
    <w:rsid w:val="00C06B94"/>
    <w:rsid w:val="00C10502"/>
    <w:rsid w:val="00C11435"/>
    <w:rsid w:val="00C11A07"/>
    <w:rsid w:val="00C14431"/>
    <w:rsid w:val="00C36029"/>
    <w:rsid w:val="00C458AD"/>
    <w:rsid w:val="00C461C2"/>
    <w:rsid w:val="00C61AD5"/>
    <w:rsid w:val="00C6522F"/>
    <w:rsid w:val="00C65F63"/>
    <w:rsid w:val="00C70A69"/>
    <w:rsid w:val="00C769FE"/>
    <w:rsid w:val="00C77ED0"/>
    <w:rsid w:val="00C82C57"/>
    <w:rsid w:val="00C84847"/>
    <w:rsid w:val="00C8489C"/>
    <w:rsid w:val="00C84D25"/>
    <w:rsid w:val="00C90CCC"/>
    <w:rsid w:val="00C958DF"/>
    <w:rsid w:val="00CA54EA"/>
    <w:rsid w:val="00CA5C9B"/>
    <w:rsid w:val="00CA7658"/>
    <w:rsid w:val="00CB2A77"/>
    <w:rsid w:val="00CC39B6"/>
    <w:rsid w:val="00CC39E5"/>
    <w:rsid w:val="00CC6BEA"/>
    <w:rsid w:val="00CC770A"/>
    <w:rsid w:val="00CD561B"/>
    <w:rsid w:val="00CE46F1"/>
    <w:rsid w:val="00CE7C2C"/>
    <w:rsid w:val="00CF2A4D"/>
    <w:rsid w:val="00CF632F"/>
    <w:rsid w:val="00D163CC"/>
    <w:rsid w:val="00D22C0B"/>
    <w:rsid w:val="00D254B2"/>
    <w:rsid w:val="00D33176"/>
    <w:rsid w:val="00D3631C"/>
    <w:rsid w:val="00D40074"/>
    <w:rsid w:val="00D40573"/>
    <w:rsid w:val="00D52A34"/>
    <w:rsid w:val="00D61B21"/>
    <w:rsid w:val="00D62D97"/>
    <w:rsid w:val="00D6529D"/>
    <w:rsid w:val="00D66AE1"/>
    <w:rsid w:val="00D72F72"/>
    <w:rsid w:val="00D73FD5"/>
    <w:rsid w:val="00D7438D"/>
    <w:rsid w:val="00D84225"/>
    <w:rsid w:val="00D915C8"/>
    <w:rsid w:val="00D96203"/>
    <w:rsid w:val="00DB0273"/>
    <w:rsid w:val="00DB7E0B"/>
    <w:rsid w:val="00DC0B2C"/>
    <w:rsid w:val="00DC17FC"/>
    <w:rsid w:val="00DC741A"/>
    <w:rsid w:val="00DD34DB"/>
    <w:rsid w:val="00DF3D46"/>
    <w:rsid w:val="00DF5144"/>
    <w:rsid w:val="00E02BBB"/>
    <w:rsid w:val="00E037D9"/>
    <w:rsid w:val="00E060BD"/>
    <w:rsid w:val="00E12128"/>
    <w:rsid w:val="00E14F42"/>
    <w:rsid w:val="00E157FB"/>
    <w:rsid w:val="00E21488"/>
    <w:rsid w:val="00E21C20"/>
    <w:rsid w:val="00E305BE"/>
    <w:rsid w:val="00E35467"/>
    <w:rsid w:val="00E35AAA"/>
    <w:rsid w:val="00E36E83"/>
    <w:rsid w:val="00E4057D"/>
    <w:rsid w:val="00E449EF"/>
    <w:rsid w:val="00E50819"/>
    <w:rsid w:val="00E50B51"/>
    <w:rsid w:val="00E56266"/>
    <w:rsid w:val="00E60BD5"/>
    <w:rsid w:val="00E61987"/>
    <w:rsid w:val="00E61B2E"/>
    <w:rsid w:val="00E626FA"/>
    <w:rsid w:val="00E72E37"/>
    <w:rsid w:val="00E85D79"/>
    <w:rsid w:val="00E87346"/>
    <w:rsid w:val="00EC0407"/>
    <w:rsid w:val="00EC2EFA"/>
    <w:rsid w:val="00ED4E8B"/>
    <w:rsid w:val="00ED5AF8"/>
    <w:rsid w:val="00EE7691"/>
    <w:rsid w:val="00EF1EDB"/>
    <w:rsid w:val="00F026A2"/>
    <w:rsid w:val="00F05AC2"/>
    <w:rsid w:val="00F05BBA"/>
    <w:rsid w:val="00F105A1"/>
    <w:rsid w:val="00F118AD"/>
    <w:rsid w:val="00F14D49"/>
    <w:rsid w:val="00F15E9A"/>
    <w:rsid w:val="00F1713F"/>
    <w:rsid w:val="00F335FA"/>
    <w:rsid w:val="00F33C1C"/>
    <w:rsid w:val="00F34309"/>
    <w:rsid w:val="00F379F3"/>
    <w:rsid w:val="00F507F3"/>
    <w:rsid w:val="00F60BBC"/>
    <w:rsid w:val="00F811D0"/>
    <w:rsid w:val="00F81A63"/>
    <w:rsid w:val="00F97888"/>
    <w:rsid w:val="00FA023D"/>
    <w:rsid w:val="00FA4E30"/>
    <w:rsid w:val="00FB2153"/>
    <w:rsid w:val="00FB32A9"/>
    <w:rsid w:val="00FB42C0"/>
    <w:rsid w:val="00FC0760"/>
    <w:rsid w:val="00FC09F2"/>
    <w:rsid w:val="00FC2696"/>
    <w:rsid w:val="00FC58EB"/>
    <w:rsid w:val="00FC778A"/>
    <w:rsid w:val="00FD0E26"/>
    <w:rsid w:val="00FE4628"/>
    <w:rsid w:val="00FF0BBE"/>
    <w:rsid w:val="00FF5A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FE4B"/>
  <w15:docId w15:val="{E4FFB01C-E9B3-4643-B716-2A592028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6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66C"/>
  </w:style>
  <w:style w:type="paragraph" w:customStyle="1" w:styleId="TableParagraph">
    <w:name w:val="Table Paragraph"/>
    <w:basedOn w:val="Normal"/>
    <w:uiPriority w:val="1"/>
    <w:qFormat/>
    <w:rsid w:val="00BF666C"/>
    <w:pPr>
      <w:jc w:val="center"/>
    </w:pPr>
  </w:style>
  <w:style w:type="paragraph" w:styleId="NoSpacing">
    <w:name w:val="No Spacing"/>
    <w:uiPriority w:val="1"/>
    <w:qFormat/>
    <w:rsid w:val="009652C3"/>
    <w:rPr>
      <w:rFonts w:ascii="Times New Roman" w:eastAsia="Times New Roman" w:hAnsi="Times New Roman" w:cs="Times New Roman"/>
    </w:rPr>
  </w:style>
  <w:style w:type="table" w:styleId="TableGrid">
    <w:name w:val="Table Grid"/>
    <w:basedOn w:val="TableNormal"/>
    <w:uiPriority w:val="39"/>
    <w:rsid w:val="00FC0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4222">
      <w:bodyDiv w:val="1"/>
      <w:marLeft w:val="0"/>
      <w:marRight w:val="0"/>
      <w:marTop w:val="0"/>
      <w:marBottom w:val="0"/>
      <w:divBdr>
        <w:top w:val="none" w:sz="0" w:space="0" w:color="auto"/>
        <w:left w:val="none" w:sz="0" w:space="0" w:color="auto"/>
        <w:bottom w:val="none" w:sz="0" w:space="0" w:color="auto"/>
        <w:right w:val="none" w:sz="0" w:space="0" w:color="auto"/>
      </w:divBdr>
    </w:div>
    <w:div w:id="1260914311">
      <w:bodyDiv w:val="1"/>
      <w:marLeft w:val="0"/>
      <w:marRight w:val="0"/>
      <w:marTop w:val="0"/>
      <w:marBottom w:val="0"/>
      <w:divBdr>
        <w:top w:val="none" w:sz="0" w:space="0" w:color="auto"/>
        <w:left w:val="none" w:sz="0" w:space="0" w:color="auto"/>
        <w:bottom w:val="none" w:sz="0" w:space="0" w:color="auto"/>
        <w:right w:val="none" w:sz="0" w:space="0" w:color="auto"/>
      </w:divBdr>
      <w:divsChild>
        <w:div w:id="1009723716">
          <w:marLeft w:val="0"/>
          <w:marRight w:val="0"/>
          <w:marTop w:val="0"/>
          <w:marBottom w:val="0"/>
          <w:divBdr>
            <w:top w:val="none" w:sz="0" w:space="0" w:color="auto"/>
            <w:left w:val="none" w:sz="0" w:space="0" w:color="auto"/>
            <w:bottom w:val="none" w:sz="0" w:space="0" w:color="auto"/>
            <w:right w:val="none" w:sz="0" w:space="0" w:color="auto"/>
          </w:divBdr>
        </w:div>
        <w:div w:id="490945390">
          <w:marLeft w:val="0"/>
          <w:marRight w:val="0"/>
          <w:marTop w:val="0"/>
          <w:marBottom w:val="0"/>
          <w:divBdr>
            <w:top w:val="none" w:sz="0" w:space="0" w:color="auto"/>
            <w:left w:val="none" w:sz="0" w:space="0" w:color="auto"/>
            <w:bottom w:val="none" w:sz="0" w:space="0" w:color="auto"/>
            <w:right w:val="none" w:sz="0" w:space="0" w:color="auto"/>
          </w:divBdr>
        </w:div>
        <w:div w:id="337580533">
          <w:marLeft w:val="0"/>
          <w:marRight w:val="0"/>
          <w:marTop w:val="0"/>
          <w:marBottom w:val="0"/>
          <w:divBdr>
            <w:top w:val="none" w:sz="0" w:space="0" w:color="auto"/>
            <w:left w:val="none" w:sz="0" w:space="0" w:color="auto"/>
            <w:bottom w:val="none" w:sz="0" w:space="0" w:color="auto"/>
            <w:right w:val="none" w:sz="0" w:space="0" w:color="auto"/>
          </w:divBdr>
        </w:div>
        <w:div w:id="34962830">
          <w:marLeft w:val="0"/>
          <w:marRight w:val="0"/>
          <w:marTop w:val="0"/>
          <w:marBottom w:val="0"/>
          <w:divBdr>
            <w:top w:val="none" w:sz="0" w:space="0" w:color="auto"/>
            <w:left w:val="none" w:sz="0" w:space="0" w:color="auto"/>
            <w:bottom w:val="none" w:sz="0" w:space="0" w:color="auto"/>
            <w:right w:val="none" w:sz="0" w:space="0" w:color="auto"/>
          </w:divBdr>
        </w:div>
        <w:div w:id="1888033423">
          <w:marLeft w:val="0"/>
          <w:marRight w:val="0"/>
          <w:marTop w:val="0"/>
          <w:marBottom w:val="0"/>
          <w:divBdr>
            <w:top w:val="none" w:sz="0" w:space="0" w:color="auto"/>
            <w:left w:val="none" w:sz="0" w:space="0" w:color="auto"/>
            <w:bottom w:val="none" w:sz="0" w:space="0" w:color="auto"/>
            <w:right w:val="none" w:sz="0" w:space="0" w:color="auto"/>
          </w:divBdr>
        </w:div>
        <w:div w:id="18053424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702D7-78F0-44A3-AF55-A2B5E2DB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6502</TotalTime>
  <Pages>4</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Uday Laroia</cp:lastModifiedBy>
  <cp:revision>173</cp:revision>
  <dcterms:created xsi:type="dcterms:W3CDTF">2023-02-15T09:47:00Z</dcterms:created>
  <dcterms:modified xsi:type="dcterms:W3CDTF">2023-04-25T08:16:00Z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Microsoft® Word for Microsoft 365</vt:lpwstr>
  </property>
  <property fmtid="{D5CDD505-2E9C-101B-9397-08002B2CF9AE}" pid="4" name="LastSaved">
    <vt:filetime>2022-05-12T00:00:00Z</vt:filetime>
  </property>
</Properties>
</file>